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EFB" w:rsidRPr="00026A9A" w:rsidRDefault="00607EFB" w:rsidP="00607EFB">
      <w:pPr>
        <w:rPr>
          <w:rFonts w:ascii="ＭＳ ゴシック" w:eastAsia="ＭＳ ゴシック" w:hAnsi="ＭＳ ゴシック"/>
          <w:sz w:val="28"/>
          <w:szCs w:val="28"/>
        </w:rPr>
      </w:pPr>
      <w:bookmarkStart w:id="0" w:name="_Toc303341793"/>
      <w:bookmarkStart w:id="1" w:name="_Toc304413721"/>
      <w:r>
        <w:rPr>
          <w:rFonts w:ascii="ＭＳ ゴシック" w:eastAsia="ＭＳ ゴシック" w:hAnsi="ＭＳ ゴシック" w:hint="eastAsia"/>
          <w:sz w:val="28"/>
          <w:szCs w:val="28"/>
        </w:rPr>
        <w:t xml:space="preserve">参考資料　</w:t>
      </w:r>
      <w:r w:rsidRPr="00026A9A">
        <w:rPr>
          <w:rFonts w:ascii="ＭＳ ゴシック" w:eastAsia="ＭＳ ゴシック" w:hAnsi="ＭＳ ゴシック" w:hint="eastAsia"/>
          <w:sz w:val="28"/>
          <w:szCs w:val="28"/>
        </w:rPr>
        <w:t>実使用年数に基づく更新基準の設定例</w:t>
      </w:r>
    </w:p>
    <w:p w:rsidR="00607EFB" w:rsidRDefault="00607EFB" w:rsidP="00607EFB">
      <w:pPr>
        <w:spacing w:afterLines="50" w:after="180"/>
        <w:ind w:firstLineChars="100" w:firstLine="210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本資料</w:t>
      </w:r>
      <w:r w:rsidRPr="005E63F2">
        <w:rPr>
          <w:rFonts w:ascii="ＭＳ Ｐ明朝" w:hAnsi="ＭＳ Ｐ明朝" w:hint="eastAsia"/>
        </w:rPr>
        <w:t>は、</w:t>
      </w:r>
      <w:r>
        <w:rPr>
          <w:rFonts w:ascii="ＭＳ Ｐ明朝" w:hAnsi="ＭＳ Ｐ明朝" w:hint="eastAsia"/>
        </w:rPr>
        <w:t>水道事業者等</w:t>
      </w:r>
      <w:r w:rsidRPr="005E63F2">
        <w:rPr>
          <w:rFonts w:ascii="ＭＳ Ｐ明朝" w:hAnsi="ＭＳ Ｐ明朝" w:hint="eastAsia"/>
        </w:rPr>
        <w:t>における</w:t>
      </w:r>
      <w:r>
        <w:rPr>
          <w:rFonts w:ascii="ＭＳ Ｐ明朝" w:hAnsi="ＭＳ Ｐ明朝" w:hint="eastAsia"/>
        </w:rPr>
        <w:t>更新実績を踏まえた</w:t>
      </w:r>
      <w:r w:rsidRPr="00E421F7">
        <w:rPr>
          <w:rFonts w:ascii="ＭＳ Ｐ明朝" w:hAnsi="ＭＳ Ｐ明朝" w:hint="eastAsia"/>
        </w:rPr>
        <w:t>実</w:t>
      </w:r>
      <w:r>
        <w:rPr>
          <w:rFonts w:ascii="ＭＳ Ｐ明朝" w:hAnsi="ＭＳ Ｐ明朝" w:hint="eastAsia"/>
        </w:rPr>
        <w:t>使用</w:t>
      </w:r>
      <w:r w:rsidRPr="00E421F7">
        <w:rPr>
          <w:rFonts w:ascii="ＭＳ Ｐ明朝" w:hAnsi="ＭＳ Ｐ明朝" w:hint="eastAsia"/>
        </w:rPr>
        <w:t>年数</w:t>
      </w:r>
      <w:r>
        <w:rPr>
          <w:rFonts w:ascii="ＭＳ Ｐ明朝" w:hAnsi="ＭＳ Ｐ明朝" w:hint="eastAsia"/>
        </w:rPr>
        <w:t>に基づく更新基準の設定例を紹介しています。</w:t>
      </w:r>
      <w:r w:rsidRPr="005E63F2">
        <w:rPr>
          <w:rFonts w:ascii="ＭＳ Ｐ明朝" w:hAnsi="ＭＳ Ｐ明朝" w:hint="eastAsia"/>
        </w:rPr>
        <w:t>あくまでも設定例ですので目安と考え、</w:t>
      </w:r>
      <w:r>
        <w:rPr>
          <w:rFonts w:ascii="ＭＳ Ｐ明朝" w:hAnsi="ＭＳ Ｐ明朝" w:hint="eastAsia"/>
        </w:rPr>
        <w:t>水道事業者等</w:t>
      </w:r>
      <w:r w:rsidRPr="005E63F2">
        <w:rPr>
          <w:rFonts w:ascii="ＭＳ Ｐ明朝" w:hAnsi="ＭＳ Ｐ明朝" w:hint="eastAsia"/>
        </w:rPr>
        <w:t>の実情（施設の重要度、劣化状況、維持管理状況、管路の布設環境等）を踏まえた設定を心がけてください。</w:t>
      </w:r>
    </w:p>
    <w:p w:rsidR="00607EFB" w:rsidRPr="00000B92" w:rsidRDefault="00607EFB" w:rsidP="00607EFB">
      <w:pPr>
        <w:rPr>
          <w:rFonts w:ascii="ＭＳ ゴシック" w:eastAsia="ＭＳ ゴシック" w:hAnsi="ＭＳ ゴシック"/>
        </w:rPr>
      </w:pPr>
      <w:r w:rsidRPr="00000B92">
        <w:rPr>
          <w:rFonts w:ascii="ＭＳ ゴシック" w:eastAsia="ＭＳ ゴシック" w:hAnsi="ＭＳ ゴシック" w:hint="eastAsia"/>
        </w:rPr>
        <w:t>○ 建築</w:t>
      </w:r>
    </w:p>
    <w:p w:rsidR="00607EFB" w:rsidRDefault="00607EFB" w:rsidP="00607EFB">
      <w:pPr>
        <w:pStyle w:val="a9"/>
      </w:pPr>
      <w:r w:rsidRPr="00937710">
        <w:rPr>
          <w:rFonts w:hint="eastAsia"/>
        </w:rPr>
        <w:t>平成21年度に</w:t>
      </w:r>
      <w:r>
        <w:rPr>
          <w:rFonts w:hint="eastAsia"/>
        </w:rPr>
        <w:t>厚生労働省が</w:t>
      </w:r>
      <w:r w:rsidRPr="00937710">
        <w:rPr>
          <w:rFonts w:hint="eastAsia"/>
        </w:rPr>
        <w:t>実施した「水道事業におけるアセットマネジメント（資産管理）の取組状況調査」（以降、取組状況調査と呼ぶ）</w:t>
      </w:r>
      <w:r>
        <w:rPr>
          <w:rFonts w:hint="eastAsia"/>
        </w:rPr>
        <w:t>において</w:t>
      </w:r>
      <w:r w:rsidRPr="00937710">
        <w:rPr>
          <w:rFonts w:hint="eastAsia"/>
        </w:rPr>
        <w:t>、</w:t>
      </w:r>
      <w:r>
        <w:rPr>
          <w:rFonts w:hint="eastAsia"/>
        </w:rPr>
        <w:t>タイプ４またはタイプ3のアセットマネジメントを実施している水道事業者等では、65年</w:t>
      </w:r>
      <w:r w:rsidRPr="00937710">
        <w:rPr>
          <w:rFonts w:hint="eastAsia"/>
        </w:rPr>
        <w:t>～75年</w:t>
      </w:r>
      <w:r>
        <w:rPr>
          <w:rFonts w:hint="eastAsia"/>
        </w:rPr>
        <w:t>での更新を</w:t>
      </w:r>
      <w:r w:rsidRPr="00937710">
        <w:rPr>
          <w:rFonts w:hint="eastAsia"/>
        </w:rPr>
        <w:t>設定</w:t>
      </w:r>
      <w:r>
        <w:rPr>
          <w:rFonts w:hint="eastAsia"/>
        </w:rPr>
        <w:t>している。</w:t>
      </w:r>
    </w:p>
    <w:p w:rsidR="00607EFB" w:rsidRPr="00937710" w:rsidRDefault="00607EFB" w:rsidP="00607EFB">
      <w:pPr>
        <w:pStyle w:val="a9"/>
        <w:snapToGrid w:val="0"/>
        <w:ind w:firstLineChars="0" w:firstLine="0"/>
      </w:pPr>
    </w:p>
    <w:p w:rsidR="00607EFB" w:rsidRPr="00000B92" w:rsidRDefault="00607EFB" w:rsidP="00607EFB">
      <w:pPr>
        <w:rPr>
          <w:rFonts w:ascii="ＭＳ ゴシック" w:eastAsia="ＭＳ ゴシック" w:hAnsi="ＭＳ ゴシック"/>
        </w:rPr>
      </w:pPr>
      <w:r w:rsidRPr="00000B92">
        <w:rPr>
          <w:rFonts w:ascii="ＭＳ ゴシック" w:eastAsia="ＭＳ ゴシック" w:hAnsi="ＭＳ ゴシック" w:hint="eastAsia"/>
        </w:rPr>
        <w:t xml:space="preserve">○ </w:t>
      </w:r>
      <w:r>
        <w:rPr>
          <w:rFonts w:ascii="ＭＳ ゴシック" w:eastAsia="ＭＳ ゴシック" w:hAnsi="ＭＳ ゴシック" w:hint="eastAsia"/>
        </w:rPr>
        <w:t>土木</w:t>
      </w:r>
    </w:p>
    <w:p w:rsidR="00607EFB" w:rsidRDefault="00607EFB" w:rsidP="00607EFB">
      <w:pPr>
        <w:pStyle w:val="a9"/>
      </w:pPr>
      <w:r w:rsidRPr="00937710">
        <w:rPr>
          <w:rFonts w:hint="eastAsia"/>
        </w:rPr>
        <w:t>取組状況調査</w:t>
      </w:r>
      <w:r>
        <w:rPr>
          <w:rFonts w:hint="eastAsia"/>
        </w:rPr>
        <w:t>において</w:t>
      </w:r>
      <w:r w:rsidRPr="00937710">
        <w:rPr>
          <w:rFonts w:hint="eastAsia"/>
        </w:rPr>
        <w:t>、</w:t>
      </w:r>
      <w:r>
        <w:rPr>
          <w:rFonts w:hint="eastAsia"/>
        </w:rPr>
        <w:t>タイプ４またはタイプ3のアセットマネジメントを実施している水道事業者等では、</w:t>
      </w:r>
      <w:r w:rsidRPr="00937710">
        <w:rPr>
          <w:rFonts w:hint="eastAsia"/>
        </w:rPr>
        <w:t>65</w:t>
      </w:r>
      <w:r>
        <w:rPr>
          <w:rFonts w:hint="eastAsia"/>
        </w:rPr>
        <w:t>年</w:t>
      </w:r>
      <w:r w:rsidRPr="00937710">
        <w:rPr>
          <w:rFonts w:hint="eastAsia"/>
        </w:rPr>
        <w:t>～</w:t>
      </w:r>
      <w:r>
        <w:rPr>
          <w:rFonts w:hint="eastAsia"/>
        </w:rPr>
        <w:t>90</w:t>
      </w:r>
      <w:r w:rsidRPr="00937710">
        <w:rPr>
          <w:rFonts w:hint="eastAsia"/>
        </w:rPr>
        <w:t>年</w:t>
      </w:r>
      <w:r>
        <w:rPr>
          <w:rFonts w:hint="eastAsia"/>
        </w:rPr>
        <w:t>での更新を設定しています。また、土木構造物の更新実績については、関西水道事業研究会における調査事例</w:t>
      </w:r>
      <w:r w:rsidRPr="007E4642">
        <w:rPr>
          <w:rFonts w:hint="eastAsia"/>
          <w:vertAlign w:val="superscript"/>
        </w:rPr>
        <w:t xml:space="preserve">1） </w:t>
      </w:r>
      <w:r>
        <w:rPr>
          <w:rFonts w:hint="eastAsia"/>
        </w:rPr>
        <w:t>があ</w:t>
      </w:r>
      <w:r w:rsidR="001278CE">
        <w:rPr>
          <w:rFonts w:hint="eastAsia"/>
        </w:rPr>
        <w:t>りま</w:t>
      </w:r>
      <w:r>
        <w:rPr>
          <w:rFonts w:hint="eastAsia"/>
        </w:rPr>
        <w:t>す。</w:t>
      </w:r>
    </w:p>
    <w:p w:rsidR="00607EFB" w:rsidRPr="00FD0FFA" w:rsidRDefault="00607EFB" w:rsidP="00AD4230">
      <w:pPr>
        <w:pStyle w:val="a9"/>
        <w:tabs>
          <w:tab w:val="left" w:pos="709"/>
          <w:tab w:val="left" w:pos="851"/>
        </w:tabs>
        <w:snapToGrid w:val="0"/>
        <w:ind w:leftChars="258" w:left="1316" w:hangingChars="430" w:hanging="774"/>
        <w:rPr>
          <w:sz w:val="18"/>
          <w:szCs w:val="18"/>
        </w:rPr>
      </w:pPr>
      <w:r>
        <w:rPr>
          <w:rFonts w:hint="eastAsia"/>
          <w:sz w:val="18"/>
          <w:szCs w:val="18"/>
        </w:rPr>
        <w:t>1）</w:t>
      </w:r>
      <w:r>
        <w:rPr>
          <w:rFonts w:hint="eastAsia"/>
          <w:sz w:val="18"/>
          <w:szCs w:val="18"/>
        </w:rPr>
        <w:tab/>
      </w:r>
      <w:r w:rsidR="008C1F5F">
        <w:rPr>
          <w:rFonts w:hint="eastAsia"/>
          <w:sz w:val="18"/>
          <w:szCs w:val="18"/>
        </w:rPr>
        <w:t>出典：</w:t>
      </w:r>
      <w:r w:rsidRPr="00FD0FFA">
        <w:rPr>
          <w:rFonts w:hint="eastAsia"/>
          <w:sz w:val="18"/>
          <w:szCs w:val="18"/>
        </w:rPr>
        <w:t>長期的視点から見た設備投資と経営のあり方～設備更新時代を迎えて～、平成14年3月、関西水道事業研究会（京都府企業局、大阪府水道部、兵庫県企業庁、奈良県水道局、京都市水道局、大阪市水道局、神戸市水道局）</w:t>
      </w:r>
    </w:p>
    <w:p w:rsidR="00607EFB" w:rsidRDefault="00607EFB" w:rsidP="00607EFB">
      <w:pPr>
        <w:rPr>
          <w:rFonts w:ascii="ＭＳ ゴシック" w:eastAsia="ＭＳ ゴシック" w:hAnsi="ＭＳ ゴシック"/>
        </w:rPr>
      </w:pPr>
    </w:p>
    <w:p w:rsidR="00607EFB" w:rsidRPr="00000B92" w:rsidRDefault="00607EFB" w:rsidP="00607EFB">
      <w:pPr>
        <w:rPr>
          <w:rFonts w:ascii="ＭＳ ゴシック" w:eastAsia="ＭＳ ゴシック" w:hAnsi="ＭＳ ゴシック"/>
        </w:rPr>
      </w:pPr>
      <w:r w:rsidRPr="00000B92">
        <w:rPr>
          <w:rFonts w:ascii="ＭＳ ゴシック" w:eastAsia="ＭＳ ゴシック" w:hAnsi="ＭＳ ゴシック" w:hint="eastAsia"/>
        </w:rPr>
        <w:t xml:space="preserve">○ </w:t>
      </w:r>
      <w:r>
        <w:rPr>
          <w:rFonts w:ascii="ＭＳ ゴシック" w:eastAsia="ＭＳ ゴシック" w:hAnsi="ＭＳ ゴシック" w:hint="eastAsia"/>
        </w:rPr>
        <w:t>設備類（電気、機械、計装）</w:t>
      </w:r>
    </w:p>
    <w:p w:rsidR="00607EFB" w:rsidRDefault="00607EFB" w:rsidP="00607EFB">
      <w:pPr>
        <w:pStyle w:val="a9"/>
      </w:pPr>
      <w:r w:rsidRPr="00937710">
        <w:rPr>
          <w:rFonts w:hint="eastAsia"/>
        </w:rPr>
        <w:t>取組状況調査</w:t>
      </w:r>
      <w:r>
        <w:rPr>
          <w:rFonts w:hint="eastAsia"/>
        </w:rPr>
        <w:t>において</w:t>
      </w:r>
      <w:r w:rsidRPr="00937710">
        <w:rPr>
          <w:rFonts w:hint="eastAsia"/>
        </w:rPr>
        <w:t>、</w:t>
      </w:r>
      <w:r>
        <w:rPr>
          <w:rFonts w:hint="eastAsia"/>
        </w:rPr>
        <w:t>タイプ４またはタイプ3のアセットマネジメントを実施している水道事業者等</w:t>
      </w:r>
      <w:r w:rsidRPr="00937710">
        <w:rPr>
          <w:rFonts w:hint="eastAsia"/>
        </w:rPr>
        <w:t>では更新基準を</w:t>
      </w:r>
      <w:r>
        <w:rPr>
          <w:rFonts w:hint="eastAsia"/>
        </w:rPr>
        <w:t>表</w:t>
      </w:r>
      <w:r w:rsidR="00795428">
        <w:rPr>
          <w:rFonts w:hint="eastAsia"/>
        </w:rPr>
        <w:t>－１</w:t>
      </w:r>
      <w:r>
        <w:rPr>
          <w:rFonts w:hint="eastAsia"/>
        </w:rPr>
        <w:t>の</w:t>
      </w:r>
      <w:r w:rsidRPr="00937710">
        <w:rPr>
          <w:rFonts w:hint="eastAsia"/>
        </w:rPr>
        <w:t>設定</w:t>
      </w:r>
      <w:r>
        <w:rPr>
          <w:rFonts w:hint="eastAsia"/>
        </w:rPr>
        <w:t>が行われています</w:t>
      </w:r>
      <w:r w:rsidRPr="00937710">
        <w:rPr>
          <w:rFonts w:hint="eastAsia"/>
        </w:rPr>
        <w:t>。</w:t>
      </w:r>
    </w:p>
    <w:p w:rsidR="008303C8" w:rsidRDefault="00607EFB" w:rsidP="00AD4230">
      <w:pPr>
        <w:pStyle w:val="a9"/>
        <w:rPr>
          <w:sz w:val="18"/>
          <w:szCs w:val="18"/>
        </w:rPr>
      </w:pPr>
      <w:r>
        <w:rPr>
          <w:rFonts w:hint="eastAsia"/>
        </w:rPr>
        <w:t>また、設備類は更新サイクルが短いため、更新実績のデータが蓄積されています。設備類の更新実績については、（公社）日本水道協会</w:t>
      </w:r>
      <w:r w:rsidR="001B6014" w:rsidRPr="001B6014">
        <w:rPr>
          <w:rFonts w:hint="eastAsia"/>
          <w:vertAlign w:val="superscript"/>
        </w:rPr>
        <w:t>2)</w:t>
      </w:r>
      <w:r>
        <w:rPr>
          <w:rFonts w:hint="eastAsia"/>
        </w:rPr>
        <w:t>、（公財）水道技術研究センター</w:t>
      </w:r>
      <w:r w:rsidR="001B6014" w:rsidRPr="001B6014">
        <w:rPr>
          <w:rFonts w:hint="eastAsia"/>
          <w:vertAlign w:val="superscript"/>
        </w:rPr>
        <w:t>3)</w:t>
      </w:r>
      <w:r w:rsidR="001278CE">
        <w:rPr>
          <w:rFonts w:hint="eastAsia"/>
        </w:rPr>
        <w:t>、</w:t>
      </w:r>
      <w:r>
        <w:rPr>
          <w:rFonts w:hint="eastAsia"/>
        </w:rPr>
        <w:t>関西水道事業研究会</w:t>
      </w:r>
      <w:r w:rsidR="001B6014">
        <w:rPr>
          <w:rFonts w:hint="eastAsia"/>
          <w:vertAlign w:val="superscript"/>
        </w:rPr>
        <w:t>4</w:t>
      </w:r>
      <w:r w:rsidR="001B6014" w:rsidRPr="001B6014">
        <w:rPr>
          <w:rFonts w:hint="eastAsia"/>
          <w:vertAlign w:val="superscript"/>
        </w:rPr>
        <w:t>)</w:t>
      </w:r>
      <w:r>
        <w:rPr>
          <w:rFonts w:hint="eastAsia"/>
        </w:rPr>
        <w:t>にお</w:t>
      </w:r>
      <w:r w:rsidR="001278CE">
        <w:rPr>
          <w:rFonts w:hint="eastAsia"/>
        </w:rPr>
        <w:t>け</w:t>
      </w:r>
      <w:r w:rsidR="00AD4230">
        <w:rPr>
          <w:rFonts w:hint="eastAsia"/>
        </w:rPr>
        <w:t>る</w:t>
      </w:r>
      <w:r>
        <w:rPr>
          <w:rFonts w:hint="eastAsia"/>
        </w:rPr>
        <w:t>調査事例があり</w:t>
      </w:r>
      <w:r w:rsidR="008C1F5F">
        <w:rPr>
          <w:rFonts w:hint="eastAsia"/>
        </w:rPr>
        <w:t>ます</w:t>
      </w:r>
      <w:r>
        <w:rPr>
          <w:rFonts w:hint="eastAsia"/>
        </w:rPr>
        <w:t>。</w:t>
      </w:r>
    </w:p>
    <w:p w:rsidR="001B6014" w:rsidRDefault="001B6014" w:rsidP="001B6014">
      <w:pPr>
        <w:pStyle w:val="a9"/>
        <w:snapToGrid w:val="0"/>
        <w:spacing w:line="276" w:lineRule="auto"/>
        <w:ind w:firstLineChars="250" w:firstLine="450"/>
        <w:rPr>
          <w:sz w:val="18"/>
          <w:szCs w:val="18"/>
        </w:rPr>
      </w:pPr>
      <w:r>
        <w:rPr>
          <w:rFonts w:hint="eastAsia"/>
          <w:sz w:val="18"/>
          <w:szCs w:val="18"/>
        </w:rPr>
        <w:t>2)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出典：</w:t>
      </w:r>
      <w:r w:rsidRPr="00FF5536">
        <w:rPr>
          <w:rFonts w:hint="eastAsia"/>
          <w:sz w:val="18"/>
          <w:szCs w:val="18"/>
        </w:rPr>
        <w:t>水道維持管理指針20</w:t>
      </w:r>
      <w:r>
        <w:rPr>
          <w:rFonts w:hint="eastAsia"/>
          <w:sz w:val="18"/>
          <w:szCs w:val="18"/>
        </w:rPr>
        <w:t>1</w:t>
      </w:r>
      <w:r>
        <w:rPr>
          <w:sz w:val="18"/>
          <w:szCs w:val="18"/>
        </w:rPr>
        <w:t>6</w:t>
      </w:r>
      <w:r>
        <w:rPr>
          <w:rFonts w:hint="eastAsia"/>
          <w:sz w:val="18"/>
          <w:szCs w:val="18"/>
        </w:rPr>
        <w:t>（公益社団法人 日本水道協会） 表-10.12.1設備機器の更新一覧</w:t>
      </w:r>
    </w:p>
    <w:p w:rsidR="008303C8" w:rsidRDefault="001B6014" w:rsidP="001B6014">
      <w:pPr>
        <w:pStyle w:val="a9"/>
        <w:snapToGrid w:val="0"/>
        <w:spacing w:line="276" w:lineRule="auto"/>
        <w:ind w:leftChars="213" w:left="1131" w:hangingChars="380" w:hanging="684"/>
        <w:rPr>
          <w:sz w:val="18"/>
          <w:szCs w:val="18"/>
        </w:rPr>
      </w:pPr>
      <w:r>
        <w:rPr>
          <w:sz w:val="18"/>
          <w:szCs w:val="18"/>
        </w:rPr>
        <w:t xml:space="preserve">3) </w:t>
      </w:r>
      <w:r>
        <w:rPr>
          <w:rFonts w:hint="eastAsia"/>
          <w:sz w:val="18"/>
          <w:szCs w:val="18"/>
        </w:rPr>
        <w:t>出典：</w:t>
      </w:r>
      <w:r w:rsidR="008303C8" w:rsidRPr="008303C8">
        <w:rPr>
          <w:rFonts w:hint="eastAsia"/>
          <w:sz w:val="18"/>
          <w:szCs w:val="18"/>
        </w:rPr>
        <w:t>持続可能な水道サービスのための浄水技術に関する研究（Aqua10共同研究）成果報告書、</w:t>
      </w:r>
      <w:r w:rsidR="00BE2C4E">
        <w:rPr>
          <w:rFonts w:hint="eastAsia"/>
          <w:sz w:val="18"/>
          <w:szCs w:val="18"/>
        </w:rPr>
        <w:t>『</w:t>
      </w:r>
      <w:r w:rsidR="008303C8" w:rsidRPr="008303C8">
        <w:rPr>
          <w:rFonts w:hint="eastAsia"/>
          <w:sz w:val="18"/>
          <w:szCs w:val="18"/>
        </w:rPr>
        <w:t>浄水施設更新シミュレータ』解説書</w:t>
      </w:r>
      <w:r>
        <w:rPr>
          <w:rFonts w:hint="eastAsia"/>
          <w:sz w:val="18"/>
          <w:szCs w:val="18"/>
        </w:rPr>
        <w:t>（</w:t>
      </w:r>
      <w:r w:rsidRPr="008303C8">
        <w:rPr>
          <w:rFonts w:hint="eastAsia"/>
          <w:sz w:val="18"/>
          <w:szCs w:val="18"/>
        </w:rPr>
        <w:t xml:space="preserve">公益社団法人 </w:t>
      </w:r>
      <w:r>
        <w:rPr>
          <w:rFonts w:hint="eastAsia"/>
          <w:sz w:val="18"/>
          <w:szCs w:val="18"/>
        </w:rPr>
        <w:t>水道技術研究センター）</w:t>
      </w:r>
      <w:r w:rsidR="001D5D72">
        <w:rPr>
          <w:rFonts w:hint="eastAsia"/>
          <w:sz w:val="18"/>
          <w:szCs w:val="18"/>
        </w:rPr>
        <w:t xml:space="preserve">　表14</w:t>
      </w:r>
      <w:r w:rsidR="001D5D72">
        <w:rPr>
          <w:sz w:val="18"/>
          <w:szCs w:val="18"/>
        </w:rPr>
        <w:t xml:space="preserve"> </w:t>
      </w:r>
      <w:r w:rsidR="001D5D72" w:rsidRPr="001D5D72">
        <w:rPr>
          <w:rFonts w:hint="eastAsia"/>
          <w:sz w:val="18"/>
          <w:szCs w:val="18"/>
        </w:rPr>
        <w:t>設備の経過年数と更新率</w:t>
      </w:r>
    </w:p>
    <w:p w:rsidR="001B6014" w:rsidRDefault="001B6014" w:rsidP="001B6014">
      <w:pPr>
        <w:pStyle w:val="a9"/>
        <w:snapToGrid w:val="0"/>
        <w:spacing w:line="276" w:lineRule="auto"/>
        <w:ind w:leftChars="213" w:left="1131" w:hangingChars="380" w:hanging="684"/>
        <w:rPr>
          <w:sz w:val="18"/>
          <w:szCs w:val="18"/>
        </w:rPr>
      </w:pPr>
      <w:r>
        <w:rPr>
          <w:rFonts w:hint="eastAsia"/>
          <w:sz w:val="18"/>
          <w:szCs w:val="18"/>
        </w:rPr>
        <w:t>4) 出典：</w:t>
      </w:r>
      <w:r w:rsidRPr="008303C8">
        <w:rPr>
          <w:rFonts w:hint="eastAsia"/>
          <w:sz w:val="18"/>
          <w:szCs w:val="18"/>
        </w:rPr>
        <w:t>長期的視点から見た設備投資と経営のあり方～設備更新時代を迎えて～</w:t>
      </w:r>
      <w:r>
        <w:rPr>
          <w:rFonts w:hint="eastAsia"/>
          <w:sz w:val="18"/>
          <w:szCs w:val="18"/>
        </w:rPr>
        <w:t>（</w:t>
      </w:r>
      <w:r w:rsidRPr="008303C8">
        <w:rPr>
          <w:rFonts w:hint="eastAsia"/>
          <w:sz w:val="18"/>
          <w:szCs w:val="18"/>
        </w:rPr>
        <w:t>関西水道事業研究会</w:t>
      </w:r>
      <w:r>
        <w:rPr>
          <w:rFonts w:hint="eastAsia"/>
          <w:sz w:val="18"/>
          <w:szCs w:val="18"/>
        </w:rPr>
        <w:t>）</w:t>
      </w:r>
    </w:p>
    <w:p w:rsidR="008C1F5F" w:rsidRPr="008303C8" w:rsidRDefault="008C1F5F" w:rsidP="001B6014">
      <w:pPr>
        <w:pStyle w:val="a9"/>
        <w:snapToGrid w:val="0"/>
        <w:spacing w:line="276" w:lineRule="auto"/>
        <w:ind w:firstLineChars="0"/>
        <w:rPr>
          <w:sz w:val="18"/>
          <w:szCs w:val="18"/>
        </w:rPr>
      </w:pPr>
    </w:p>
    <w:p w:rsidR="00607EFB" w:rsidRDefault="00607EFB" w:rsidP="00607EFB">
      <w:pPr>
        <w:pStyle w:val="a9"/>
        <w:spacing w:beforeLines="50" w:before="180"/>
        <w:ind w:firstLineChars="0" w:firstLine="0"/>
        <w:jc w:val="center"/>
      </w:pPr>
      <w:r>
        <w:rPr>
          <w:rFonts w:hint="eastAsia"/>
        </w:rPr>
        <w:t>表</w:t>
      </w:r>
      <w:r w:rsidR="00B772B8">
        <w:rPr>
          <w:rFonts w:hint="eastAsia"/>
        </w:rPr>
        <w:t>－１</w:t>
      </w:r>
      <w:r>
        <w:rPr>
          <w:rFonts w:hint="eastAsia"/>
        </w:rPr>
        <w:t xml:space="preserve">　水道事業者等での</w:t>
      </w:r>
      <w:r w:rsidRPr="00937710">
        <w:rPr>
          <w:rFonts w:hint="eastAsia"/>
        </w:rPr>
        <w:t>更新基準</w:t>
      </w:r>
      <w:r>
        <w:rPr>
          <w:rFonts w:hint="eastAsia"/>
        </w:rPr>
        <w:t>例（</w:t>
      </w:r>
      <w:r w:rsidRPr="0078427A">
        <w:rPr>
          <w:rFonts w:hint="eastAsia"/>
        </w:rPr>
        <w:t>取組状況調査</w:t>
      </w:r>
      <w:r>
        <w:rPr>
          <w:rFonts w:hint="eastAsia"/>
        </w:rPr>
        <w:t>）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835"/>
        <w:gridCol w:w="5245"/>
      </w:tblGrid>
      <w:tr w:rsidR="00607EFB" w:rsidTr="00FF77AF">
        <w:tc>
          <w:tcPr>
            <w:tcW w:w="351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jc w:val="center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工種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jc w:val="center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更新基準の設定値</w:t>
            </w:r>
          </w:p>
        </w:tc>
      </w:tr>
      <w:tr w:rsidR="00607EFB" w:rsidTr="00FF77AF">
        <w:tc>
          <w:tcPr>
            <w:tcW w:w="675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電気</w:t>
            </w:r>
          </w:p>
        </w:tc>
        <w:tc>
          <w:tcPr>
            <w:tcW w:w="2835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受変電・配電設備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20～40年で設定</w:t>
            </w:r>
          </w:p>
        </w:tc>
      </w:tr>
      <w:tr w:rsidR="00607EFB" w:rsidTr="00FF77AF">
        <w:tc>
          <w:tcPr>
            <w:tcW w:w="675" w:type="dxa"/>
            <w:vMerge/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</w:p>
        </w:tc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直流電源設備</w:t>
            </w:r>
          </w:p>
        </w:tc>
        <w:tc>
          <w:tcPr>
            <w:tcW w:w="524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6～20年で設定</w:t>
            </w:r>
          </w:p>
        </w:tc>
      </w:tr>
      <w:tr w:rsidR="00607EFB" w:rsidTr="00FF77AF">
        <w:tc>
          <w:tcPr>
            <w:tcW w:w="675" w:type="dxa"/>
            <w:vMerge/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</w:p>
        </w:tc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非常用電源設備</w:t>
            </w:r>
          </w:p>
        </w:tc>
        <w:tc>
          <w:tcPr>
            <w:tcW w:w="524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15～40年で設定</w:t>
            </w:r>
          </w:p>
        </w:tc>
      </w:tr>
      <w:tr w:rsidR="00607EFB" w:rsidTr="00FF77AF">
        <w:tc>
          <w:tcPr>
            <w:tcW w:w="675" w:type="dxa"/>
            <w:vMerge w:val="restart"/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機械</w:t>
            </w:r>
          </w:p>
        </w:tc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ポンプ</w:t>
            </w:r>
          </w:p>
        </w:tc>
        <w:tc>
          <w:tcPr>
            <w:tcW w:w="524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20～30年で設定</w:t>
            </w:r>
          </w:p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*オーバーホールする場合は別途設定（例えば50年）</w:t>
            </w:r>
          </w:p>
        </w:tc>
      </w:tr>
      <w:tr w:rsidR="00607EFB" w:rsidTr="00FF77AF">
        <w:tc>
          <w:tcPr>
            <w:tcW w:w="675" w:type="dxa"/>
            <w:vMerge/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</w:p>
        </w:tc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滅菌設備</w:t>
            </w:r>
          </w:p>
        </w:tc>
        <w:tc>
          <w:tcPr>
            <w:tcW w:w="524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15～25年で設定</w:t>
            </w:r>
          </w:p>
        </w:tc>
      </w:tr>
      <w:tr w:rsidR="00607EFB" w:rsidTr="00FF77AF">
        <w:tc>
          <w:tcPr>
            <w:tcW w:w="675" w:type="dxa"/>
            <w:vMerge/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</w:p>
        </w:tc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薬注設備</w:t>
            </w:r>
          </w:p>
        </w:tc>
        <w:tc>
          <w:tcPr>
            <w:tcW w:w="524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法定耐用年数または15～30年で設定</w:t>
            </w:r>
          </w:p>
        </w:tc>
      </w:tr>
      <w:tr w:rsidR="00607EFB" w:rsidTr="00FF77AF">
        <w:tc>
          <w:tcPr>
            <w:tcW w:w="675" w:type="dxa"/>
            <w:vMerge/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</w:p>
        </w:tc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沈殿・ろ過池機械設備</w:t>
            </w:r>
          </w:p>
        </w:tc>
        <w:tc>
          <w:tcPr>
            <w:tcW w:w="524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20～30年で設定</w:t>
            </w:r>
          </w:p>
        </w:tc>
      </w:tr>
      <w:tr w:rsidR="00607EFB" w:rsidTr="00FF77AF">
        <w:tc>
          <w:tcPr>
            <w:tcW w:w="675" w:type="dxa"/>
            <w:vMerge/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</w:p>
        </w:tc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排水処理設備</w:t>
            </w:r>
          </w:p>
        </w:tc>
        <w:tc>
          <w:tcPr>
            <w:tcW w:w="524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20～40年で設定</w:t>
            </w:r>
          </w:p>
        </w:tc>
      </w:tr>
      <w:tr w:rsidR="00607EFB" w:rsidTr="00FF77AF">
        <w:tc>
          <w:tcPr>
            <w:tcW w:w="675" w:type="dxa"/>
            <w:vMerge w:val="restart"/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計装</w:t>
            </w:r>
          </w:p>
        </w:tc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流量計、水位計、水質計器</w:t>
            </w:r>
          </w:p>
        </w:tc>
        <w:tc>
          <w:tcPr>
            <w:tcW w:w="524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10～25年で設定</w:t>
            </w:r>
          </w:p>
        </w:tc>
      </w:tr>
      <w:tr w:rsidR="00607EFB" w:rsidTr="00FF77AF">
        <w:tc>
          <w:tcPr>
            <w:tcW w:w="675" w:type="dxa"/>
            <w:vMerge/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</w:p>
        </w:tc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監視制御設備、伝送装置</w:t>
            </w:r>
          </w:p>
        </w:tc>
        <w:tc>
          <w:tcPr>
            <w:tcW w:w="524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07EFB" w:rsidRPr="00356D4E" w:rsidRDefault="00607EFB" w:rsidP="00FF77AF">
            <w:pPr>
              <w:pStyle w:val="a9"/>
              <w:snapToGrid w:val="0"/>
              <w:ind w:firstLineChars="0" w:firstLine="0"/>
              <w:rPr>
                <w:rFonts w:hAnsi="ＭＳ Ｐ明朝"/>
              </w:rPr>
            </w:pPr>
            <w:r w:rsidRPr="00356D4E">
              <w:rPr>
                <w:rFonts w:hAnsi="ＭＳ Ｐ明朝" w:hint="eastAsia"/>
              </w:rPr>
              <w:t>15～23年（監視テレビ装置を除く）で設定</w:t>
            </w:r>
          </w:p>
        </w:tc>
      </w:tr>
      <w:bookmarkEnd w:id="0"/>
      <w:bookmarkEnd w:id="1"/>
    </w:tbl>
    <w:p w:rsidR="001278CE" w:rsidRDefault="001278CE" w:rsidP="00607EFB">
      <w:pPr>
        <w:rPr>
          <w:rFonts w:ascii="ＭＳ ゴシック" w:eastAsia="ＭＳ ゴシック" w:hAnsi="ＭＳ ゴシック"/>
        </w:rPr>
      </w:pPr>
    </w:p>
    <w:p w:rsidR="00607EFB" w:rsidRPr="00000B92" w:rsidRDefault="00607EFB" w:rsidP="00607EFB">
      <w:pPr>
        <w:rPr>
          <w:rFonts w:ascii="ＭＳ ゴシック" w:eastAsia="ＭＳ ゴシック" w:hAnsi="ＭＳ ゴシック"/>
        </w:rPr>
      </w:pPr>
      <w:r w:rsidRPr="00000B92">
        <w:rPr>
          <w:rFonts w:ascii="ＭＳ ゴシック" w:eastAsia="ＭＳ ゴシック" w:hAnsi="ＭＳ ゴシック" w:hint="eastAsia"/>
        </w:rPr>
        <w:lastRenderedPageBreak/>
        <w:t xml:space="preserve">○ </w:t>
      </w:r>
      <w:r>
        <w:rPr>
          <w:rFonts w:ascii="ＭＳ ゴシック" w:eastAsia="ＭＳ ゴシック" w:hAnsi="ＭＳ ゴシック" w:hint="eastAsia"/>
        </w:rPr>
        <w:t>管路</w:t>
      </w:r>
    </w:p>
    <w:p w:rsidR="00252425" w:rsidRPr="00000B92" w:rsidRDefault="00607EFB" w:rsidP="0025242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EF4535">
        <w:rPr>
          <w:rFonts w:ascii="ＭＳ ゴシック" w:eastAsia="ＭＳ ゴシック" w:hAnsi="ＭＳ ゴシック" w:hint="eastAsia"/>
        </w:rPr>
        <w:t>水道事業者独自に</w:t>
      </w:r>
      <w:r w:rsidR="00346362">
        <w:rPr>
          <w:rFonts w:ascii="ＭＳ ゴシック" w:eastAsia="ＭＳ ゴシック" w:hAnsi="ＭＳ ゴシック" w:hint="eastAsia"/>
        </w:rPr>
        <w:t>更新基準年数を</w:t>
      </w:r>
      <w:r w:rsidR="00EF4535">
        <w:rPr>
          <w:rFonts w:ascii="ＭＳ ゴシック" w:eastAsia="ＭＳ ゴシック" w:hAnsi="ＭＳ ゴシック" w:hint="eastAsia"/>
        </w:rPr>
        <w:t>設定している事例</w:t>
      </w:r>
    </w:p>
    <w:p w:rsidR="00EF4535" w:rsidRDefault="001F36A2" w:rsidP="001278CE">
      <w:pPr>
        <w:ind w:firstLineChars="100" w:firstLine="210"/>
      </w:pPr>
      <w:r w:rsidRPr="001F36A2">
        <w:rPr>
          <w:rFonts w:hint="eastAsia"/>
        </w:rPr>
        <w:t>取組状況調査</w:t>
      </w:r>
      <w:r>
        <w:rPr>
          <w:rFonts w:hint="eastAsia"/>
        </w:rPr>
        <w:t>において</w:t>
      </w:r>
      <w:r w:rsidR="00346362">
        <w:rPr>
          <w:rFonts w:hint="eastAsia"/>
        </w:rPr>
        <w:t>、タイプ</w:t>
      </w:r>
      <w:r>
        <w:rPr>
          <w:rFonts w:hint="eastAsia"/>
        </w:rPr>
        <w:t>４</w:t>
      </w:r>
      <w:r w:rsidR="00346362">
        <w:rPr>
          <w:rFonts w:hint="eastAsia"/>
        </w:rPr>
        <w:t>またはタイプ</w:t>
      </w:r>
      <w:r>
        <w:rPr>
          <w:rFonts w:hint="eastAsia"/>
        </w:rPr>
        <w:t>３</w:t>
      </w:r>
      <w:r w:rsidR="00346362">
        <w:rPr>
          <w:rFonts w:hint="eastAsia"/>
        </w:rPr>
        <w:t>のアセットマネジメントを実施している</w:t>
      </w:r>
      <w:r>
        <w:rPr>
          <w:rFonts w:hint="eastAsia"/>
        </w:rPr>
        <w:t>水道事業者等</w:t>
      </w:r>
      <w:r w:rsidR="00795428">
        <w:rPr>
          <w:rFonts w:hint="eastAsia"/>
        </w:rPr>
        <w:t>を対象に、更新基準年数の設定事例を整理した結果を表－</w:t>
      </w:r>
      <w:r w:rsidR="001278CE">
        <w:rPr>
          <w:rFonts w:hint="eastAsia"/>
        </w:rPr>
        <w:t>２</w:t>
      </w:r>
      <w:r w:rsidR="00346362">
        <w:rPr>
          <w:rFonts w:hint="eastAsia"/>
        </w:rPr>
        <w:t>に示す。</w:t>
      </w:r>
    </w:p>
    <w:p w:rsidR="008303C8" w:rsidRDefault="008303C8" w:rsidP="008F7C20">
      <w:pPr>
        <w:jc w:val="center"/>
        <w:rPr>
          <w:rFonts w:ascii="ＭＳ Ｐ明朝" w:eastAsia="ＭＳ Ｐ明朝" w:hAnsi="ＭＳ Ｐ明朝"/>
        </w:rPr>
      </w:pPr>
    </w:p>
    <w:p w:rsidR="008F7C20" w:rsidRPr="00B772B8" w:rsidRDefault="00485904" w:rsidP="008F7C20">
      <w:pPr>
        <w:jc w:val="center"/>
        <w:rPr>
          <w:rFonts w:ascii="ＭＳ Ｐ明朝" w:eastAsia="ＭＳ Ｐ明朝" w:hAnsi="ＭＳ Ｐ明朝"/>
        </w:rPr>
      </w:pPr>
      <w:r w:rsidRPr="0048590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234950</wp:posOffset>
            </wp:positionV>
            <wp:extent cx="5618480" cy="3376930"/>
            <wp:effectExtent l="0" t="0" r="1270" b="0"/>
            <wp:wrapTopAndBottom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480" cy="33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7C20" w:rsidRPr="00B772B8">
        <w:rPr>
          <w:rFonts w:ascii="ＭＳ Ｐ明朝" w:eastAsia="ＭＳ Ｐ明朝" w:hAnsi="ＭＳ Ｐ明朝" w:hint="eastAsia"/>
        </w:rPr>
        <w:t>表</w:t>
      </w:r>
      <w:r w:rsidR="00B772B8" w:rsidRPr="00B772B8">
        <w:rPr>
          <w:rFonts w:ascii="ＭＳ Ｐ明朝" w:eastAsia="ＭＳ Ｐ明朝" w:hAnsi="ＭＳ Ｐ明朝" w:hint="eastAsia"/>
        </w:rPr>
        <w:t>－</w:t>
      </w:r>
      <w:r w:rsidR="001278CE">
        <w:rPr>
          <w:rFonts w:ascii="ＭＳ Ｐ明朝" w:eastAsia="ＭＳ Ｐ明朝" w:hAnsi="ＭＳ Ｐ明朝" w:hint="eastAsia"/>
        </w:rPr>
        <w:t>２</w:t>
      </w:r>
      <w:r w:rsidR="008F7C20" w:rsidRPr="00B772B8">
        <w:rPr>
          <w:rFonts w:ascii="ＭＳ Ｐ明朝" w:eastAsia="ＭＳ Ｐ明朝" w:hAnsi="ＭＳ Ｐ明朝" w:hint="eastAsia"/>
        </w:rPr>
        <w:t xml:space="preserve">　</w:t>
      </w:r>
      <w:r w:rsidR="00DB4C7F" w:rsidRPr="00B772B8">
        <w:rPr>
          <w:rFonts w:ascii="ＭＳ Ｐ明朝" w:eastAsia="ＭＳ Ｐ明朝" w:hAnsi="ＭＳ Ｐ明朝" w:hint="eastAsia"/>
        </w:rPr>
        <w:t>水道事業者独自に更新基準年数を設定している事例</w:t>
      </w:r>
    </w:p>
    <w:p w:rsidR="008303C8" w:rsidRDefault="008303C8" w:rsidP="00346362">
      <w:pPr>
        <w:rPr>
          <w:rFonts w:ascii="ＭＳ ゴシック" w:eastAsia="ＭＳ ゴシック" w:hAnsi="ＭＳ ゴシック"/>
        </w:rPr>
      </w:pPr>
    </w:p>
    <w:p w:rsidR="00346362" w:rsidRPr="00000B92" w:rsidRDefault="00607EFB" w:rsidP="0034636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714D13">
        <w:rPr>
          <w:rFonts w:ascii="ＭＳ ゴシック" w:eastAsia="ＭＳ ゴシック" w:hAnsi="ＭＳ ゴシック" w:hint="eastAsia"/>
        </w:rPr>
        <w:t>直接診断</w:t>
      </w:r>
      <w:r w:rsidR="00346362">
        <w:rPr>
          <w:rFonts w:ascii="ＭＳ ゴシック" w:eastAsia="ＭＳ ゴシック" w:hAnsi="ＭＳ ゴシック" w:hint="eastAsia"/>
        </w:rPr>
        <w:t>に基づき更新基準年数を設定している事例</w:t>
      </w:r>
    </w:p>
    <w:p w:rsidR="00714D13" w:rsidRDefault="001F36A2" w:rsidP="00346362">
      <w:pPr>
        <w:ind w:firstLineChars="100" w:firstLine="210"/>
      </w:pPr>
      <w:r>
        <w:rPr>
          <w:rFonts w:hint="eastAsia"/>
        </w:rPr>
        <w:t>令和元年度に厚生労働省が実施した調査において、</w:t>
      </w:r>
      <w:r w:rsidR="00346362">
        <w:rPr>
          <w:rFonts w:hint="eastAsia"/>
        </w:rPr>
        <w:t>水道事業者</w:t>
      </w:r>
      <w:r>
        <w:rPr>
          <w:rFonts w:hint="eastAsia"/>
        </w:rPr>
        <w:t>等</w:t>
      </w:r>
      <w:r w:rsidR="00346362">
        <w:rPr>
          <w:rFonts w:hint="eastAsia"/>
        </w:rPr>
        <w:t>で独自に</w:t>
      </w:r>
      <w:r w:rsidR="00714D13">
        <w:rPr>
          <w:rFonts w:hint="eastAsia"/>
        </w:rPr>
        <w:t>直接診断（</w:t>
      </w:r>
      <w:r w:rsidR="00346362">
        <w:rPr>
          <w:rFonts w:hint="eastAsia"/>
        </w:rPr>
        <w:t>管体、土壌調査</w:t>
      </w:r>
      <w:r w:rsidR="00714D13">
        <w:rPr>
          <w:rFonts w:hint="eastAsia"/>
        </w:rPr>
        <w:t>）</w:t>
      </w:r>
      <w:r w:rsidR="00346362">
        <w:rPr>
          <w:rFonts w:hint="eastAsia"/>
        </w:rPr>
        <w:t>を行い、</w:t>
      </w:r>
      <w:r w:rsidR="00714D13">
        <w:rPr>
          <w:rFonts w:hint="eastAsia"/>
        </w:rPr>
        <w:t>埋設土壌の腐食性評価係数及び埋設年数により腐食の進行（腐食深さ）を</w:t>
      </w:r>
      <w:r w:rsidR="00346362">
        <w:rPr>
          <w:rFonts w:hint="eastAsia"/>
        </w:rPr>
        <w:t>予測</w:t>
      </w:r>
      <w:r w:rsidR="00714D13">
        <w:rPr>
          <w:rFonts w:hint="eastAsia"/>
        </w:rPr>
        <w:t>し、更新基準年数を設定している事例を表</w:t>
      </w:r>
      <w:r w:rsidR="00795428">
        <w:rPr>
          <w:rFonts w:hint="eastAsia"/>
        </w:rPr>
        <w:t>－</w:t>
      </w:r>
      <w:r w:rsidR="008303C8">
        <w:rPr>
          <w:rFonts w:hint="eastAsia"/>
        </w:rPr>
        <w:t>３</w:t>
      </w:r>
      <w:r w:rsidR="00714D13">
        <w:rPr>
          <w:rFonts w:hint="eastAsia"/>
        </w:rPr>
        <w:t>に示す。</w:t>
      </w:r>
    </w:p>
    <w:p w:rsidR="00346362" w:rsidRPr="001F36A2" w:rsidRDefault="00346362" w:rsidP="00346362"/>
    <w:p w:rsidR="008F7C20" w:rsidRDefault="008C4206" w:rsidP="008F7C20">
      <w:pPr>
        <w:jc w:val="center"/>
      </w:pPr>
      <w:r w:rsidRPr="008C420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254000</wp:posOffset>
            </wp:positionV>
            <wp:extent cx="5970905" cy="2247265"/>
            <wp:effectExtent l="0" t="0" r="0" b="635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7C20" w:rsidRPr="008F7C20">
        <w:rPr>
          <w:rFonts w:hint="eastAsia"/>
        </w:rPr>
        <w:t>表</w:t>
      </w:r>
      <w:r w:rsidR="008303C8">
        <w:rPr>
          <w:rFonts w:hint="eastAsia"/>
        </w:rPr>
        <w:t>－３</w:t>
      </w:r>
      <w:r w:rsidR="004F747A" w:rsidRPr="008F7C20">
        <w:rPr>
          <w:rFonts w:hint="eastAsia"/>
        </w:rPr>
        <w:t xml:space="preserve">　</w:t>
      </w:r>
      <w:r w:rsidR="00DB4C7F" w:rsidRPr="00DB4C7F">
        <w:rPr>
          <w:rFonts w:hint="eastAsia"/>
        </w:rPr>
        <w:t>直接診断に基づき更新基準年数を設定している事例</w:t>
      </w:r>
    </w:p>
    <w:p w:rsidR="00714D13" w:rsidRDefault="00714D13">
      <w:pPr>
        <w:widowControl/>
        <w:jc w:val="left"/>
      </w:pPr>
    </w:p>
    <w:p w:rsidR="008303C8" w:rsidRDefault="008303C8" w:rsidP="00714D13">
      <w:pPr>
        <w:rPr>
          <w:rFonts w:ascii="ＭＳ ゴシック" w:eastAsia="ＭＳ ゴシック" w:hAnsi="ＭＳ ゴシック"/>
        </w:rPr>
      </w:pPr>
    </w:p>
    <w:p w:rsidR="001278CE" w:rsidRPr="00000B92" w:rsidRDefault="001278CE" w:rsidP="001278C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（参考１）関西水道事業研究会における調査事例</w:t>
      </w:r>
    </w:p>
    <w:p w:rsidR="001278CE" w:rsidRDefault="001278CE" w:rsidP="00714D13">
      <w:pPr>
        <w:rPr>
          <w:rFonts w:ascii="ＭＳ ゴシック" w:eastAsia="ＭＳ ゴシック" w:hAnsi="ＭＳ ゴシック"/>
        </w:rPr>
      </w:pPr>
    </w:p>
    <w:p w:rsidR="001278CE" w:rsidRDefault="001278CE" w:rsidP="001278CE">
      <w:pPr>
        <w:jc w:val="center"/>
        <w:rPr>
          <w:rFonts w:ascii="ＭＳ ゴシック" w:eastAsia="ＭＳ ゴシック" w:hAnsi="ＭＳ ゴシック"/>
        </w:rPr>
      </w:pPr>
      <w:r>
        <w:rPr>
          <w:rFonts w:hint="eastAsia"/>
        </w:rPr>
        <w:t>表－４　関西水道事業研究会における調査事例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1278CE" w:rsidRPr="001278CE" w:rsidTr="006526C9"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大分類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総データ数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除去データ数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使用データ数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平均寿命</w:t>
            </w:r>
          </w:p>
        </w:tc>
      </w:tr>
      <w:tr w:rsidR="001278CE" w:rsidRPr="001278CE" w:rsidTr="006526C9"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配管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391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46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345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59.3</w:t>
            </w:r>
          </w:p>
        </w:tc>
      </w:tr>
      <w:tr w:rsidR="001278CE" w:rsidRPr="001278CE" w:rsidTr="006526C9"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土木構造物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30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22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73.0</w:t>
            </w:r>
          </w:p>
        </w:tc>
      </w:tr>
      <w:tr w:rsidR="001278CE" w:rsidRPr="001278CE" w:rsidTr="006526C9"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機械及び装置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444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45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399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24.8</w:t>
            </w:r>
          </w:p>
        </w:tc>
      </w:tr>
      <w:tr w:rsidR="001278CE" w:rsidRPr="001278CE" w:rsidTr="006526C9"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計装関係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266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47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219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20.4</w:t>
            </w:r>
          </w:p>
        </w:tc>
      </w:tr>
      <w:tr w:rsidR="001278CE" w:rsidRPr="001278CE" w:rsidTr="006526C9">
        <w:tc>
          <w:tcPr>
            <w:tcW w:w="1812" w:type="dxa"/>
          </w:tcPr>
          <w:p w:rsidR="001278CE" w:rsidRPr="001278CE" w:rsidRDefault="001278CE" w:rsidP="006526C9">
            <w:pPr>
              <w:jc w:val="center"/>
              <w:rPr>
                <w:rFonts w:asciiTheme="minorEastAsia" w:hAnsiTheme="minorEastAsia"/>
              </w:rPr>
            </w:pPr>
            <w:r w:rsidRPr="001278CE">
              <w:rPr>
                <w:rFonts w:asciiTheme="minorEastAsia" w:hAnsiTheme="minorEastAsia" w:hint="eastAsia"/>
              </w:rPr>
              <w:t>その他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269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261</w:t>
            </w:r>
          </w:p>
        </w:tc>
        <w:tc>
          <w:tcPr>
            <w:tcW w:w="1812" w:type="dxa"/>
          </w:tcPr>
          <w:p w:rsidR="001278CE" w:rsidRPr="001278CE" w:rsidRDefault="001278CE" w:rsidP="006526C9">
            <w:pPr>
              <w:jc w:val="right"/>
              <w:rPr>
                <w:rFonts w:asciiTheme="minorEastAsia" w:hAnsiTheme="minorEastAsia"/>
                <w:sz w:val="24"/>
              </w:rPr>
            </w:pPr>
            <w:r w:rsidRPr="001278CE">
              <w:rPr>
                <w:rFonts w:asciiTheme="minorEastAsia" w:hAnsiTheme="minorEastAsia" w:hint="eastAsia"/>
                <w:sz w:val="24"/>
              </w:rPr>
              <w:t>14.5</w:t>
            </w:r>
          </w:p>
        </w:tc>
      </w:tr>
    </w:tbl>
    <w:p w:rsidR="001278CE" w:rsidRPr="001278CE" w:rsidRDefault="001278CE" w:rsidP="001278CE">
      <w:pPr>
        <w:jc w:val="right"/>
        <w:rPr>
          <w:rFonts w:asciiTheme="minorEastAsia" w:hAnsiTheme="minorEastAsia"/>
        </w:rPr>
      </w:pPr>
      <w:r w:rsidRPr="001278CE">
        <w:rPr>
          <w:rFonts w:asciiTheme="minorEastAsia" w:hAnsiTheme="minorEastAsia" w:hint="eastAsia"/>
        </w:rPr>
        <w:t xml:space="preserve">　備考）使用したデータ数は８事業体全体</w:t>
      </w:r>
    </w:p>
    <w:p w:rsidR="001278CE" w:rsidRDefault="001278CE" w:rsidP="00714D13">
      <w:pPr>
        <w:rPr>
          <w:rFonts w:ascii="ＭＳ ゴシック" w:eastAsia="ＭＳ ゴシック" w:hAnsi="ＭＳ ゴシック"/>
        </w:rPr>
      </w:pPr>
    </w:p>
    <w:p w:rsidR="00714D13" w:rsidRPr="00000B92" w:rsidRDefault="001278CE" w:rsidP="00714D1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（参考２）</w:t>
      </w:r>
      <w:r w:rsidR="00CD59B6">
        <w:rPr>
          <w:rFonts w:ascii="ＭＳ ゴシック" w:eastAsia="ＭＳ ゴシック" w:hAnsi="ＭＳ ゴシック" w:hint="eastAsia"/>
        </w:rPr>
        <w:t>日本水道</w:t>
      </w:r>
      <w:r w:rsidR="00DB4C7F">
        <w:rPr>
          <w:rFonts w:ascii="ＭＳ ゴシック" w:eastAsia="ＭＳ ゴシック" w:hAnsi="ＭＳ ゴシック" w:hint="eastAsia"/>
        </w:rPr>
        <w:t>協会等から公表されている</w:t>
      </w:r>
      <w:r w:rsidR="00CD59B6">
        <w:rPr>
          <w:rFonts w:ascii="ＭＳ ゴシック" w:eastAsia="ＭＳ ゴシック" w:hAnsi="ＭＳ ゴシック" w:hint="eastAsia"/>
        </w:rPr>
        <w:t>関連情報</w:t>
      </w:r>
    </w:p>
    <w:p w:rsidR="00035349" w:rsidRDefault="00CD59B6" w:rsidP="00DB4C7F">
      <w:pPr>
        <w:ind w:firstLineChars="100" w:firstLine="210"/>
      </w:pPr>
      <w:r>
        <w:rPr>
          <w:rFonts w:hint="eastAsia"/>
        </w:rPr>
        <w:t>日本水道</w:t>
      </w:r>
      <w:r w:rsidR="00035349">
        <w:rPr>
          <w:rFonts w:hint="eastAsia"/>
        </w:rPr>
        <w:t>協会</w:t>
      </w:r>
      <w:r>
        <w:rPr>
          <w:rFonts w:hint="eastAsia"/>
        </w:rPr>
        <w:t>等から</w:t>
      </w:r>
      <w:r w:rsidR="00C31461">
        <w:rPr>
          <w:rFonts w:hint="eastAsia"/>
        </w:rPr>
        <w:t>学識経験者等の第三者の評価</w:t>
      </w:r>
      <w:r w:rsidR="00BE2C4E">
        <w:rPr>
          <w:rFonts w:hint="eastAsia"/>
        </w:rPr>
        <w:t>が</w:t>
      </w:r>
      <w:r w:rsidR="00C31461">
        <w:rPr>
          <w:rFonts w:hint="eastAsia"/>
        </w:rPr>
        <w:t>得られている</w:t>
      </w:r>
      <w:r>
        <w:rPr>
          <w:rFonts w:hint="eastAsia"/>
        </w:rPr>
        <w:t>管材の耐用年数等関連情報を</w:t>
      </w:r>
      <w:r w:rsidR="009429AB">
        <w:rPr>
          <w:rFonts w:hint="eastAsia"/>
        </w:rPr>
        <w:t>表</w:t>
      </w:r>
      <w:r w:rsidR="008303C8">
        <w:rPr>
          <w:rFonts w:hint="eastAsia"/>
        </w:rPr>
        <w:t>－</w:t>
      </w:r>
      <w:r w:rsidR="001278CE">
        <w:rPr>
          <w:rFonts w:hint="eastAsia"/>
        </w:rPr>
        <w:t>５</w:t>
      </w:r>
      <w:r w:rsidR="003F47CB">
        <w:rPr>
          <w:rFonts w:hint="eastAsia"/>
        </w:rPr>
        <w:t>に</w:t>
      </w:r>
      <w:r w:rsidR="009429AB">
        <w:rPr>
          <w:rFonts w:hint="eastAsia"/>
        </w:rPr>
        <w:t>示す。</w:t>
      </w:r>
    </w:p>
    <w:p w:rsidR="00DB4C7F" w:rsidRPr="00CD59B6" w:rsidRDefault="00DB4C7F">
      <w:bookmarkStart w:id="2" w:name="_GoBack"/>
      <w:bookmarkEnd w:id="2"/>
    </w:p>
    <w:p w:rsidR="008F7C20" w:rsidRDefault="008F7C20" w:rsidP="008F7C20">
      <w:pPr>
        <w:jc w:val="center"/>
      </w:pPr>
      <w:r w:rsidRPr="008F7C20">
        <w:rPr>
          <w:rFonts w:hint="eastAsia"/>
        </w:rPr>
        <w:t>表</w:t>
      </w:r>
      <w:r w:rsidR="00B772B8">
        <w:rPr>
          <w:rFonts w:hint="eastAsia"/>
        </w:rPr>
        <w:t>－</w:t>
      </w:r>
      <w:r w:rsidR="001278CE">
        <w:rPr>
          <w:rFonts w:hint="eastAsia"/>
        </w:rPr>
        <w:t>５</w:t>
      </w:r>
      <w:r w:rsidR="009429AB">
        <w:rPr>
          <w:rFonts w:hint="eastAsia"/>
        </w:rPr>
        <w:t xml:space="preserve">　</w:t>
      </w:r>
      <w:r w:rsidR="00C31461">
        <w:rPr>
          <w:rFonts w:hint="eastAsia"/>
        </w:rPr>
        <w:t>日本水道</w:t>
      </w:r>
      <w:r w:rsidR="009429AB">
        <w:rPr>
          <w:rFonts w:hint="eastAsia"/>
        </w:rPr>
        <w:t>協会等から公表されている</w:t>
      </w:r>
      <w:r w:rsidR="003F47CB">
        <w:rPr>
          <w:rFonts w:hint="eastAsia"/>
        </w:rPr>
        <w:t>耐用年数</w:t>
      </w:r>
    </w:p>
    <w:p w:rsidR="008F7C20" w:rsidRPr="00C31461" w:rsidRDefault="00C31461" w:rsidP="008F7C20">
      <w:pPr>
        <w:jc w:val="center"/>
      </w:pPr>
      <w:r w:rsidRPr="00C31461">
        <w:rPr>
          <w:noProof/>
        </w:rPr>
        <w:drawing>
          <wp:inline distT="0" distB="0" distL="0" distR="0">
            <wp:extent cx="5759450" cy="2084437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084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2B8" w:rsidRDefault="00B772B8" w:rsidP="008F7C20">
      <w:pPr>
        <w:jc w:val="center"/>
      </w:pPr>
    </w:p>
    <w:p w:rsidR="00FB0C11" w:rsidRDefault="00FB0C11" w:rsidP="008F7C20">
      <w:pPr>
        <w:jc w:val="center"/>
      </w:pPr>
    </w:p>
    <w:p w:rsidR="001278CE" w:rsidRDefault="001278CE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B772B8" w:rsidRPr="00000B92" w:rsidRDefault="00B772B8" w:rsidP="00B772B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（参考</w:t>
      </w:r>
      <w:r w:rsidR="001278CE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）簡易支援ツールの機能</w:t>
      </w:r>
    </w:p>
    <w:p w:rsidR="00B772B8" w:rsidRDefault="00B772B8" w:rsidP="00B772B8">
      <w:pPr>
        <w:spacing w:afterLines="50" w:after="180"/>
        <w:ind w:firstLineChars="100" w:firstLine="210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簡易支援ツールのステップ２では</w:t>
      </w:r>
      <w:r w:rsidRPr="00E421F7">
        <w:rPr>
          <w:rFonts w:ascii="ＭＳ Ｐ明朝" w:hAnsi="ＭＳ Ｐ明朝" w:hint="eastAsia"/>
        </w:rPr>
        <w:t>、工種（建築、土木、電気、機械、管路）ごと</w:t>
      </w:r>
      <w:r>
        <w:rPr>
          <w:rFonts w:ascii="ＭＳ Ｐ明朝" w:hAnsi="ＭＳ Ｐ明朝" w:hint="eastAsia"/>
        </w:rPr>
        <w:t>の更新基準を法定耐用年数をもとに初期</w:t>
      </w:r>
      <w:r w:rsidRPr="00E421F7">
        <w:rPr>
          <w:rFonts w:ascii="ＭＳ Ｐ明朝" w:hAnsi="ＭＳ Ｐ明朝" w:hint="eastAsia"/>
        </w:rPr>
        <w:t>設定し</w:t>
      </w:r>
      <w:r>
        <w:rPr>
          <w:rFonts w:ascii="ＭＳ Ｐ明朝" w:hAnsi="ＭＳ Ｐ明朝" w:hint="eastAsia"/>
        </w:rPr>
        <w:t>ており</w:t>
      </w:r>
      <w:r w:rsidRPr="00E421F7">
        <w:rPr>
          <w:rFonts w:ascii="ＭＳ Ｐ明朝" w:hAnsi="ＭＳ Ｐ明朝" w:hint="eastAsia"/>
        </w:rPr>
        <w:t>、個々の施設の状況を取り入れ</w:t>
      </w:r>
      <w:r>
        <w:rPr>
          <w:rFonts w:ascii="ＭＳ Ｐ明朝" w:hAnsi="ＭＳ Ｐ明朝" w:hint="eastAsia"/>
        </w:rPr>
        <w:t>た更新基準とはなって</w:t>
      </w:r>
      <w:r w:rsidRPr="00E421F7">
        <w:rPr>
          <w:rFonts w:ascii="ＭＳ Ｐ明朝" w:hAnsi="ＭＳ Ｐ明朝" w:hint="eastAsia"/>
        </w:rPr>
        <w:t>いません</w:t>
      </w:r>
      <w:r>
        <w:rPr>
          <w:rFonts w:ascii="ＭＳ Ｐ明朝" w:hAnsi="ＭＳ Ｐ明朝" w:hint="eastAsia"/>
        </w:rPr>
        <w:t>。なお、簡易支援ツールには、実使用年数を考慮するため、</w:t>
      </w:r>
      <w:r w:rsidRPr="00E421F7">
        <w:rPr>
          <w:rFonts w:ascii="ＭＳ Ｐ明朝" w:hAnsi="ＭＳ Ｐ明朝" w:hint="eastAsia"/>
        </w:rPr>
        <w:t>一律</w:t>
      </w:r>
      <w:r>
        <w:rPr>
          <w:rFonts w:ascii="ＭＳ Ｐ明朝" w:hAnsi="ＭＳ Ｐ明朝" w:hint="eastAsia"/>
        </w:rPr>
        <w:t>に</w:t>
      </w:r>
      <w:r w:rsidRPr="00E421F7">
        <w:rPr>
          <w:rFonts w:ascii="ＭＳ Ｐ明朝" w:hAnsi="ＭＳ Ｐ明朝" w:hint="eastAsia"/>
        </w:rPr>
        <w:t>法定耐用年数</w:t>
      </w:r>
      <w:r w:rsidR="00C31461">
        <w:rPr>
          <w:rFonts w:ascii="ＭＳ Ｐ明朝" w:hAnsi="ＭＳ Ｐ明朝" w:hint="eastAsia"/>
        </w:rPr>
        <w:t>に対する倍数（何倍の期間とするか）</w:t>
      </w:r>
      <w:r>
        <w:rPr>
          <w:rFonts w:ascii="ＭＳ Ｐ明朝" w:hAnsi="ＭＳ Ｐ明朝" w:hint="eastAsia"/>
        </w:rPr>
        <w:t>を設定する機能</w:t>
      </w:r>
      <w:r w:rsidR="00C31461">
        <w:rPr>
          <w:rFonts w:ascii="ＭＳ Ｐ明朝" w:hAnsi="ＭＳ Ｐ明朝" w:hint="eastAsia"/>
        </w:rPr>
        <w:t>を</w:t>
      </w:r>
      <w:r>
        <w:rPr>
          <w:rFonts w:ascii="ＭＳ Ｐ明朝" w:hAnsi="ＭＳ Ｐ明朝" w:hint="eastAsia"/>
        </w:rPr>
        <w:t>有しています。</w:t>
      </w:r>
    </w:p>
    <w:p w:rsidR="00B772B8" w:rsidRPr="00FF77AF" w:rsidRDefault="00B772B8" w:rsidP="00B772B8">
      <w:pPr>
        <w:pStyle w:val="a9"/>
        <w:spacing w:after="120"/>
        <w:ind w:firstLineChars="0" w:firstLine="0"/>
        <w:jc w:val="center"/>
      </w:pPr>
      <w:r w:rsidRPr="00FF77AF">
        <w:rPr>
          <w:rFonts w:hint="eastAsia"/>
        </w:rPr>
        <w:t>表</w:t>
      </w:r>
      <w:r>
        <w:rPr>
          <w:rFonts w:hint="eastAsia"/>
        </w:rPr>
        <w:t>－６</w:t>
      </w:r>
      <w:r w:rsidRPr="00FF77AF">
        <w:rPr>
          <w:rFonts w:hint="eastAsia"/>
        </w:rPr>
        <w:t xml:space="preserve">　　簡易支援ツールにおける工種別の更新基準の初期設定値（法定耐用年数）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96"/>
        <w:gridCol w:w="2520"/>
      </w:tblGrid>
      <w:tr w:rsidR="00B772B8" w:rsidRPr="00FF77AF" w:rsidTr="002872B6">
        <w:trPr>
          <w:jc w:val="center"/>
        </w:trPr>
        <w:tc>
          <w:tcPr>
            <w:tcW w:w="1196" w:type="dxa"/>
            <w:tcBorders>
              <w:bottom w:val="single" w:sz="6" w:space="0" w:color="auto"/>
            </w:tcBorders>
            <w:shd w:val="clear" w:color="auto" w:fill="auto"/>
          </w:tcPr>
          <w:p w:rsidR="00B772B8" w:rsidRPr="00FF77AF" w:rsidRDefault="00B772B8" w:rsidP="002872B6">
            <w:pPr>
              <w:pStyle w:val="a9"/>
              <w:snapToGrid w:val="0"/>
              <w:ind w:firstLineChars="0" w:firstLine="0"/>
              <w:jc w:val="center"/>
            </w:pPr>
            <w:r w:rsidRPr="00FF77AF">
              <w:rPr>
                <w:rFonts w:hint="eastAsia"/>
              </w:rPr>
              <w:t>工種</w:t>
            </w:r>
          </w:p>
        </w:tc>
        <w:tc>
          <w:tcPr>
            <w:tcW w:w="2520" w:type="dxa"/>
            <w:tcBorders>
              <w:bottom w:val="single" w:sz="6" w:space="0" w:color="auto"/>
            </w:tcBorders>
            <w:shd w:val="clear" w:color="auto" w:fill="auto"/>
          </w:tcPr>
          <w:p w:rsidR="00B772B8" w:rsidRPr="00FF77AF" w:rsidRDefault="00B772B8" w:rsidP="002872B6">
            <w:pPr>
              <w:pStyle w:val="a9"/>
              <w:snapToGrid w:val="0"/>
              <w:ind w:firstLineChars="0" w:firstLine="0"/>
              <w:jc w:val="center"/>
            </w:pPr>
            <w:r w:rsidRPr="00FF77AF">
              <w:rPr>
                <w:rFonts w:hint="eastAsia"/>
              </w:rPr>
              <w:t>更新基準の初期設定値</w:t>
            </w:r>
          </w:p>
          <w:p w:rsidR="00B772B8" w:rsidRPr="00FF77AF" w:rsidRDefault="00B772B8" w:rsidP="002872B6">
            <w:pPr>
              <w:pStyle w:val="a9"/>
              <w:snapToGrid w:val="0"/>
              <w:ind w:firstLineChars="0" w:firstLine="0"/>
              <w:jc w:val="center"/>
            </w:pPr>
            <w:r w:rsidRPr="00FF77AF">
              <w:rPr>
                <w:rFonts w:hint="eastAsia"/>
              </w:rPr>
              <w:t>（法定耐用年数）</w:t>
            </w:r>
          </w:p>
        </w:tc>
      </w:tr>
      <w:tr w:rsidR="00B772B8" w:rsidTr="002872B6">
        <w:trPr>
          <w:jc w:val="center"/>
        </w:trPr>
        <w:tc>
          <w:tcPr>
            <w:tcW w:w="1196" w:type="dxa"/>
            <w:tcBorders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建築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50年</w:t>
            </w:r>
          </w:p>
        </w:tc>
      </w:tr>
      <w:tr w:rsidR="00B772B8" w:rsidTr="002872B6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土木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60年、45年*</w:t>
            </w:r>
          </w:p>
        </w:tc>
      </w:tr>
      <w:tr w:rsidR="00B772B8" w:rsidTr="002872B6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電気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15年 **</w:t>
            </w:r>
          </w:p>
        </w:tc>
      </w:tr>
      <w:tr w:rsidR="00B772B8" w:rsidTr="002872B6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機械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15年</w:t>
            </w:r>
          </w:p>
        </w:tc>
      </w:tr>
      <w:tr w:rsidR="00B772B8" w:rsidTr="002872B6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計装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－ **</w:t>
            </w:r>
          </w:p>
        </w:tc>
      </w:tr>
      <w:tr w:rsidR="00B772B8" w:rsidTr="002872B6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6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管路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B772B8" w:rsidRDefault="00B772B8" w:rsidP="002872B6">
            <w:pPr>
              <w:pStyle w:val="a9"/>
              <w:snapToGrid w:val="0"/>
              <w:ind w:firstLineChars="0" w:firstLine="0"/>
              <w:jc w:val="center"/>
            </w:pPr>
            <w:r>
              <w:rPr>
                <w:rFonts w:hint="eastAsia"/>
              </w:rPr>
              <w:t>40年</w:t>
            </w:r>
          </w:p>
        </w:tc>
      </w:tr>
    </w:tbl>
    <w:p w:rsidR="00B772B8" w:rsidRDefault="00B772B8" w:rsidP="00B772B8">
      <w:pPr>
        <w:pStyle w:val="a9"/>
        <w:snapToGrid w:val="0"/>
        <w:ind w:leftChars="1160" w:left="2436" w:firstLineChars="0" w:firstLine="0"/>
      </w:pPr>
      <w:r>
        <w:rPr>
          <w:rFonts w:hint="eastAsia"/>
        </w:rPr>
        <w:t>* SUS配水池に適用</w:t>
      </w:r>
    </w:p>
    <w:p w:rsidR="00B772B8" w:rsidRPr="00167FE1" w:rsidRDefault="00B772B8" w:rsidP="00B772B8">
      <w:pPr>
        <w:pStyle w:val="a9"/>
        <w:snapToGrid w:val="0"/>
        <w:ind w:leftChars="1160" w:left="2436" w:firstLineChars="0" w:firstLine="0"/>
      </w:pPr>
      <w:r>
        <w:rPr>
          <w:rFonts w:hint="eastAsia"/>
        </w:rPr>
        <w:t>**電気は、計装設備を含む設定</w:t>
      </w:r>
    </w:p>
    <w:p w:rsidR="00B772B8" w:rsidRDefault="00B772B8" w:rsidP="00B772B8">
      <w:pPr>
        <w:spacing w:beforeLines="50" w:before="180" w:afterLines="50" w:after="180"/>
        <w:ind w:firstLineChars="100" w:firstLine="210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また、ステップ</w:t>
      </w:r>
      <w:r>
        <w:rPr>
          <w:rFonts w:ascii="ＭＳ Ｐ明朝" w:hAnsi="ＭＳ Ｐ明朝" w:hint="eastAsia"/>
        </w:rPr>
        <w:t>3</w:t>
      </w:r>
      <w:r>
        <w:rPr>
          <w:rFonts w:ascii="ＭＳ Ｐ明朝" w:hAnsi="ＭＳ Ｐ明朝" w:hint="eastAsia"/>
        </w:rPr>
        <w:t>において、水道事業者等の実情に応じた</w:t>
      </w:r>
      <w:r w:rsidRPr="00E421F7">
        <w:rPr>
          <w:rFonts w:ascii="ＭＳ Ｐ明朝" w:hAnsi="ＭＳ Ｐ明朝" w:hint="eastAsia"/>
        </w:rPr>
        <w:t>更新基準</w:t>
      </w:r>
      <w:r>
        <w:rPr>
          <w:rFonts w:ascii="ＭＳ Ｐ明朝" w:hAnsi="ＭＳ Ｐ明朝" w:hint="eastAsia"/>
        </w:rPr>
        <w:t>に変更することで、アセットマネジメントの精度を上げることができます</w:t>
      </w:r>
      <w:r w:rsidRPr="00E421F7">
        <w:rPr>
          <w:rFonts w:ascii="ＭＳ Ｐ明朝" w:hAnsi="ＭＳ Ｐ明朝" w:hint="eastAsia"/>
        </w:rPr>
        <w:t>。</w:t>
      </w:r>
      <w:r>
        <w:rPr>
          <w:rFonts w:ascii="ＭＳ Ｐ明朝" w:hAnsi="ＭＳ Ｐ明朝" w:hint="eastAsia"/>
        </w:rPr>
        <w:t>この場合、</w:t>
      </w:r>
      <w:r w:rsidRPr="00E421F7">
        <w:rPr>
          <w:rFonts w:ascii="ＭＳ Ｐ明朝" w:hAnsi="ＭＳ Ｐ明朝" w:hint="eastAsia"/>
        </w:rPr>
        <w:t>様式</w:t>
      </w:r>
      <w:r w:rsidRPr="00E421F7">
        <w:rPr>
          <w:rFonts w:ascii="ＭＳ Ｐ明朝" w:hAnsi="ＭＳ Ｐ明朝" w:hint="eastAsia"/>
        </w:rPr>
        <w:t xml:space="preserve">2-1 </w:t>
      </w:r>
      <w:r w:rsidRPr="00E421F7">
        <w:rPr>
          <w:rFonts w:ascii="ＭＳ Ｐ明朝" w:hAnsi="ＭＳ Ｐ明朝" w:hint="eastAsia"/>
        </w:rPr>
        <w:t>で、ピックアップした構造物･設備の更新基準の変更を直接入力</w:t>
      </w:r>
      <w:r>
        <w:rPr>
          <w:rFonts w:ascii="ＭＳ Ｐ明朝" w:hAnsi="ＭＳ Ｐ明朝" w:hint="eastAsia"/>
        </w:rPr>
        <w:t>します</w:t>
      </w:r>
      <w:r w:rsidRPr="00E421F7">
        <w:rPr>
          <w:rFonts w:ascii="ＭＳ Ｐ明朝" w:hAnsi="ＭＳ Ｐ明朝" w:hint="eastAsia"/>
        </w:rPr>
        <w:t>。</w:t>
      </w:r>
    </w:p>
    <w:p w:rsidR="00B772B8" w:rsidRPr="00B772B8" w:rsidRDefault="00B772B8" w:rsidP="00B772B8">
      <w:pPr>
        <w:jc w:val="left"/>
      </w:pPr>
    </w:p>
    <w:p w:rsidR="00B772B8" w:rsidRDefault="00B772B8" w:rsidP="008F7C20">
      <w:pPr>
        <w:jc w:val="center"/>
      </w:pPr>
    </w:p>
    <w:sectPr w:rsidR="00B772B8" w:rsidSect="004F747A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F02" w:rsidRDefault="006B3F02" w:rsidP="007A511D">
      <w:r>
        <w:separator/>
      </w:r>
    </w:p>
  </w:endnote>
  <w:endnote w:type="continuationSeparator" w:id="0">
    <w:p w:rsidR="006B3F02" w:rsidRDefault="006B3F02" w:rsidP="007A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F02" w:rsidRDefault="006B3F02" w:rsidP="007A511D">
      <w:r>
        <w:separator/>
      </w:r>
    </w:p>
  </w:footnote>
  <w:footnote w:type="continuationSeparator" w:id="0">
    <w:p w:rsidR="006B3F02" w:rsidRDefault="006B3F02" w:rsidP="007A5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8157F"/>
    <w:multiLevelType w:val="hybridMultilevel"/>
    <w:tmpl w:val="B360124A"/>
    <w:lvl w:ilvl="0" w:tplc="04090001">
      <w:start w:val="1"/>
      <w:numFmt w:val="bullet"/>
      <w:lvlText w:val=""/>
      <w:lvlJc w:val="left"/>
      <w:pPr>
        <w:ind w:left="9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20"/>
    <w:rsid w:val="00035349"/>
    <w:rsid w:val="001278CE"/>
    <w:rsid w:val="001B6014"/>
    <w:rsid w:val="001D5D72"/>
    <w:rsid w:val="001F36A2"/>
    <w:rsid w:val="00252425"/>
    <w:rsid w:val="00296C92"/>
    <w:rsid w:val="002D2A33"/>
    <w:rsid w:val="00346362"/>
    <w:rsid w:val="003D2C4C"/>
    <w:rsid w:val="003F47CB"/>
    <w:rsid w:val="00463529"/>
    <w:rsid w:val="00485904"/>
    <w:rsid w:val="004F747A"/>
    <w:rsid w:val="005D58F3"/>
    <w:rsid w:val="00607EFB"/>
    <w:rsid w:val="006B3F02"/>
    <w:rsid w:val="00714D13"/>
    <w:rsid w:val="00795428"/>
    <w:rsid w:val="007A511D"/>
    <w:rsid w:val="007A6589"/>
    <w:rsid w:val="008303C8"/>
    <w:rsid w:val="008C1F5F"/>
    <w:rsid w:val="008C4206"/>
    <w:rsid w:val="008F7C20"/>
    <w:rsid w:val="009429AB"/>
    <w:rsid w:val="009B53C4"/>
    <w:rsid w:val="00AB32B9"/>
    <w:rsid w:val="00AD4230"/>
    <w:rsid w:val="00B772B8"/>
    <w:rsid w:val="00BE2C4E"/>
    <w:rsid w:val="00C31461"/>
    <w:rsid w:val="00CD59B6"/>
    <w:rsid w:val="00DB4C7F"/>
    <w:rsid w:val="00E0645E"/>
    <w:rsid w:val="00EF4535"/>
    <w:rsid w:val="00FB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C01C155-B26B-4686-A948-C7C03385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7C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7C2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51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511D"/>
  </w:style>
  <w:style w:type="paragraph" w:styleId="a7">
    <w:name w:val="footer"/>
    <w:basedOn w:val="a"/>
    <w:link w:val="a8"/>
    <w:uiPriority w:val="99"/>
    <w:unhideWhenUsed/>
    <w:rsid w:val="007A5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511D"/>
  </w:style>
  <w:style w:type="paragraph" w:customStyle="1" w:styleId="a9">
    <w:name w:val="＠本文"/>
    <w:basedOn w:val="a"/>
    <w:link w:val="aa"/>
    <w:rsid w:val="00607EFB"/>
    <w:pPr>
      <w:ind w:firstLineChars="100" w:firstLine="220"/>
    </w:pPr>
    <w:rPr>
      <w:rFonts w:ascii="ＭＳ Ｐ明朝" w:eastAsia="ＭＳ Ｐ明朝" w:hAnsi="Century" w:cs="ＭＳ 明朝"/>
      <w:sz w:val="22"/>
      <w:szCs w:val="20"/>
    </w:rPr>
  </w:style>
  <w:style w:type="character" w:customStyle="1" w:styleId="aa">
    <w:name w:val="＠本文 (文字)"/>
    <w:link w:val="a9"/>
    <w:rsid w:val="00607EFB"/>
    <w:rPr>
      <w:rFonts w:ascii="ＭＳ Ｐ明朝" w:eastAsia="ＭＳ Ｐ明朝" w:hAnsi="Century" w:cs="ＭＳ 明朝"/>
      <w:sz w:val="22"/>
      <w:szCs w:val="20"/>
    </w:rPr>
  </w:style>
  <w:style w:type="table" w:styleId="ab">
    <w:name w:val="Table Grid"/>
    <w:basedOn w:val="a1"/>
    <w:uiPriority w:val="59"/>
    <w:rsid w:val="00127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鮫島 竜一(samejima-ryuuichi.d63)</dc:creator>
  <cp:lastModifiedBy>鮫島 竜一(samejima-ryuuichi.d63)</cp:lastModifiedBy>
  <cp:revision>5</cp:revision>
  <cp:lastPrinted>2020-03-31T04:39:00Z</cp:lastPrinted>
  <dcterms:created xsi:type="dcterms:W3CDTF">2020-03-31T04:01:00Z</dcterms:created>
  <dcterms:modified xsi:type="dcterms:W3CDTF">2020-03-31T05:50:00Z</dcterms:modified>
</cp:coreProperties>
</file>