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D3BF" w14:textId="77777777" w:rsidR="00DD0E56" w:rsidRDefault="00DD0E56" w:rsidP="00DD0E56">
      <w:pPr>
        <w:overflowPunct w:val="0"/>
        <w:ind w:left="420" w:hangingChars="200" w:hanging="420"/>
        <w:textAlignment w:val="baseline"/>
        <w:rPr>
          <w:rFonts w:ascii="Times New Roman" w:eastAsia="ＭＳ 明朝" w:hAnsi="Times New Roman" w:cs="ＭＳ 明朝"/>
          <w:color w:val="000000"/>
          <w:kern w:val="0"/>
          <w:szCs w:val="21"/>
        </w:rPr>
      </w:pPr>
      <w:r w:rsidRPr="00043E71">
        <w:rPr>
          <w:rFonts w:ascii="Times New Roman" w:eastAsia="ＭＳ 明朝" w:hAnsi="Times New Roman" w:cs="ＭＳ 明朝" w:hint="eastAsia"/>
          <w:color w:val="000000"/>
          <w:kern w:val="0"/>
          <w:szCs w:val="21"/>
        </w:rPr>
        <w:t>（別紙</w:t>
      </w:r>
      <w:r>
        <w:rPr>
          <w:rFonts w:ascii="Times New Roman" w:eastAsia="ＭＳ 明朝" w:hAnsi="Times New Roman" w:cs="ＭＳ 明朝" w:hint="eastAsia"/>
          <w:color w:val="000000"/>
          <w:kern w:val="0"/>
          <w:szCs w:val="21"/>
        </w:rPr>
        <w:t>２</w:t>
      </w:r>
      <w:r w:rsidRPr="00043E71">
        <w:rPr>
          <w:rFonts w:ascii="Times New Roman" w:eastAsia="ＭＳ 明朝" w:hAnsi="Times New Roman" w:cs="ＭＳ 明朝" w:hint="eastAsia"/>
          <w:color w:val="000000"/>
          <w:kern w:val="0"/>
          <w:szCs w:val="21"/>
        </w:rPr>
        <w:t>）</w:t>
      </w:r>
    </w:p>
    <w:p w14:paraId="7149C4F5" w14:textId="77777777" w:rsidR="00037A36" w:rsidRDefault="00DD0E56" w:rsidP="00DD0E56">
      <w:pPr>
        <w:overflowPunct w:val="0"/>
        <w:ind w:leftChars="100" w:left="420" w:hangingChars="100" w:hanging="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貨物自動車運送事業輸送安全規則第</w:t>
      </w:r>
      <w:r>
        <w:rPr>
          <w:rFonts w:ascii="Times New Roman" w:eastAsia="ＭＳ 明朝" w:hAnsi="Times New Roman" w:cs="ＭＳ 明朝" w:hint="eastAsia"/>
          <w:color w:val="000000"/>
          <w:kern w:val="0"/>
          <w:szCs w:val="21"/>
        </w:rPr>
        <w:t>20</w:t>
      </w:r>
      <w:r>
        <w:rPr>
          <w:rFonts w:ascii="Times New Roman" w:eastAsia="ＭＳ 明朝" w:hAnsi="Times New Roman" w:cs="ＭＳ 明朝" w:hint="eastAsia"/>
          <w:color w:val="000000"/>
          <w:kern w:val="0"/>
          <w:szCs w:val="21"/>
        </w:rPr>
        <w:t>条第１項に規定する運行管理業務の一元化において</w:t>
      </w:r>
      <w:r w:rsidR="00037A36">
        <w:rPr>
          <w:rFonts w:ascii="Times New Roman" w:eastAsia="ＭＳ 明朝" w:hAnsi="Times New Roman" w:cs="ＭＳ 明朝" w:hint="eastAsia"/>
          <w:color w:val="000000"/>
          <w:kern w:val="0"/>
          <w:szCs w:val="21"/>
        </w:rPr>
        <w:t>集</w:t>
      </w:r>
    </w:p>
    <w:p w14:paraId="15763BBA" w14:textId="743D5DF0" w:rsidR="00DD0E56" w:rsidRDefault="00DD0E56" w:rsidP="00DD0E56">
      <w:pPr>
        <w:overflowPunct w:val="0"/>
        <w:ind w:leftChars="100" w:left="420" w:hangingChars="100" w:hanging="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約する業務</w:t>
      </w:r>
    </w:p>
    <w:tbl>
      <w:tblPr>
        <w:tblStyle w:val="ab"/>
        <w:tblW w:w="9072" w:type="dxa"/>
        <w:tblInd w:w="137" w:type="dxa"/>
        <w:tblLayout w:type="fixed"/>
        <w:tblLook w:val="04A0" w:firstRow="1" w:lastRow="0" w:firstColumn="1" w:lastColumn="0" w:noHBand="0" w:noVBand="1"/>
      </w:tblPr>
      <w:tblGrid>
        <w:gridCol w:w="1559"/>
        <w:gridCol w:w="426"/>
        <w:gridCol w:w="7087"/>
      </w:tblGrid>
      <w:tr w:rsidR="00FE5EB6" w14:paraId="696AFB14" w14:textId="77777777" w:rsidTr="008E15F3">
        <w:tc>
          <w:tcPr>
            <w:tcW w:w="1559" w:type="dxa"/>
          </w:tcPr>
          <w:p w14:paraId="73DE136D" w14:textId="1A1FBCF0" w:rsidR="00FE5EB6" w:rsidRPr="00043E71" w:rsidRDefault="00FE5EB6" w:rsidP="00D82AC8">
            <w:pPr>
              <w:overflowPunct w:val="0"/>
              <w:textAlignment w:val="baseline"/>
              <w:rPr>
                <w:rFonts w:ascii="Times New Roman" w:eastAsia="ＭＳ 明朝" w:hAnsi="Times New Roman" w:cs="ＭＳ 明朝"/>
                <w:color w:val="000000"/>
                <w:kern w:val="0"/>
                <w:szCs w:val="21"/>
              </w:rPr>
            </w:pPr>
          </w:p>
        </w:tc>
        <w:tc>
          <w:tcPr>
            <w:tcW w:w="426" w:type="dxa"/>
          </w:tcPr>
          <w:p w14:paraId="19DAB645" w14:textId="5E2F33BC" w:rsidR="00FE5EB6" w:rsidRDefault="00FE5EB6" w:rsidP="00D82AC8">
            <w:pPr>
              <w:overflowPunct w:val="0"/>
              <w:textAlignment w:val="baseline"/>
              <w:rPr>
                <w:rFonts w:ascii="Times New Roman" w:eastAsia="ＭＳ 明朝" w:hAnsi="Times New Roman" w:cs="ＭＳ 明朝" w:hint="eastAsia"/>
                <w:color w:val="000000"/>
                <w:kern w:val="0"/>
                <w:szCs w:val="21"/>
              </w:rPr>
            </w:pPr>
            <w:r>
              <w:rPr>
                <w:rFonts w:ascii="Times New Roman" w:eastAsia="ＭＳ 明朝" w:hAnsi="Times New Roman" w:cs="ＭＳ 明朝" w:hint="eastAsia"/>
                <w:color w:val="000000"/>
                <w:kern w:val="0"/>
                <w:szCs w:val="21"/>
              </w:rPr>
              <w:t>該当に○</w:t>
            </w:r>
          </w:p>
        </w:tc>
        <w:tc>
          <w:tcPr>
            <w:tcW w:w="7087" w:type="dxa"/>
          </w:tcPr>
          <w:p w14:paraId="299C3A08" w14:textId="7235ED3A"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運行管理業務（抄）</w:t>
            </w:r>
          </w:p>
        </w:tc>
      </w:tr>
      <w:tr w:rsidR="00FE5EB6" w14:paraId="3ED1ECD0" w14:textId="77777777" w:rsidTr="008E15F3">
        <w:tc>
          <w:tcPr>
            <w:tcW w:w="1559" w:type="dxa"/>
          </w:tcPr>
          <w:p w14:paraId="482F149E"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第一号</w:t>
            </w:r>
          </w:p>
        </w:tc>
        <w:tc>
          <w:tcPr>
            <w:tcW w:w="426" w:type="dxa"/>
          </w:tcPr>
          <w:p w14:paraId="6EBC9B06"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5136CFE2" w14:textId="2B99DFE8"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運転者として選任された者以外の者を運行の業務に従事させないこと。</w:t>
            </w:r>
          </w:p>
        </w:tc>
      </w:tr>
      <w:tr w:rsidR="00FE5EB6" w14:paraId="52E9EF60" w14:textId="77777777" w:rsidTr="008E15F3">
        <w:tc>
          <w:tcPr>
            <w:tcW w:w="1559" w:type="dxa"/>
          </w:tcPr>
          <w:p w14:paraId="1676CDFE"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第二号</w:t>
            </w:r>
          </w:p>
        </w:tc>
        <w:tc>
          <w:tcPr>
            <w:tcW w:w="426" w:type="dxa"/>
          </w:tcPr>
          <w:p w14:paraId="555ABC24"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66C9485C" w14:textId="78D7E2B9"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color w:val="000000"/>
                <w:kern w:val="0"/>
                <w:szCs w:val="21"/>
              </w:rPr>
              <w:t>休憩又は睡眠のために利用することができる施設を適切に管理すること。</w:t>
            </w:r>
          </w:p>
        </w:tc>
      </w:tr>
      <w:tr w:rsidR="00FE5EB6" w14:paraId="7D728DB7" w14:textId="77777777" w:rsidTr="008E15F3">
        <w:tc>
          <w:tcPr>
            <w:tcW w:w="1559" w:type="dxa"/>
          </w:tcPr>
          <w:p w14:paraId="73911CAC"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第三号</w:t>
            </w:r>
          </w:p>
        </w:tc>
        <w:tc>
          <w:tcPr>
            <w:tcW w:w="426" w:type="dxa"/>
          </w:tcPr>
          <w:p w14:paraId="6B224A23"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2105FAC8" w14:textId="059FFBB2"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color w:val="000000"/>
                <w:kern w:val="0"/>
                <w:szCs w:val="21"/>
              </w:rPr>
              <w:t>乗務割の作成及びこれに従い運転者に乗務させること。</w:t>
            </w:r>
          </w:p>
        </w:tc>
      </w:tr>
      <w:tr w:rsidR="00FE5EB6" w14:paraId="78012C2E" w14:textId="77777777" w:rsidTr="008E15F3">
        <w:tc>
          <w:tcPr>
            <w:tcW w:w="1559" w:type="dxa"/>
          </w:tcPr>
          <w:p w14:paraId="2EB39520"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第四号</w:t>
            </w:r>
          </w:p>
        </w:tc>
        <w:tc>
          <w:tcPr>
            <w:tcW w:w="426" w:type="dxa"/>
          </w:tcPr>
          <w:p w14:paraId="462EBB9C"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3A6CB8FA" w14:textId="0BEDDC17"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color w:val="000000"/>
                <w:kern w:val="0"/>
                <w:szCs w:val="21"/>
              </w:rPr>
              <w:t>酒気を帯びた状態にある乗務員等を運行の業務に従事させないこと。</w:t>
            </w:r>
          </w:p>
        </w:tc>
      </w:tr>
      <w:tr w:rsidR="00FE5EB6" w14:paraId="2047A84E" w14:textId="77777777" w:rsidTr="008E15F3">
        <w:tc>
          <w:tcPr>
            <w:tcW w:w="1559" w:type="dxa"/>
          </w:tcPr>
          <w:p w14:paraId="6008C6FD"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第四号の二</w:t>
            </w:r>
          </w:p>
        </w:tc>
        <w:tc>
          <w:tcPr>
            <w:tcW w:w="426" w:type="dxa"/>
          </w:tcPr>
          <w:p w14:paraId="7796F8E8"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4BC6AF80" w14:textId="0BB29EED"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hint="eastAsia"/>
                <w:color w:val="000000"/>
                <w:kern w:val="0"/>
                <w:szCs w:val="21"/>
              </w:rPr>
              <w:t>乗務員等の健康状態の把握に努め、疾病、疲労、睡眠不足、その他の理由により安全に運行の業務を遂行し、又はその補助をすることができないおそれがある乗務員等を運行の業務に従事させないこと。</w:t>
            </w:r>
          </w:p>
        </w:tc>
      </w:tr>
      <w:tr w:rsidR="00FE5EB6" w14:paraId="40366F87" w14:textId="77777777" w:rsidTr="008E15F3">
        <w:tc>
          <w:tcPr>
            <w:tcW w:w="1559" w:type="dxa"/>
          </w:tcPr>
          <w:p w14:paraId="781073E7"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第五号</w:t>
            </w:r>
          </w:p>
        </w:tc>
        <w:tc>
          <w:tcPr>
            <w:tcW w:w="426" w:type="dxa"/>
          </w:tcPr>
          <w:p w14:paraId="7277D224"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2A3B4E45" w14:textId="35B3AB95"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hint="eastAsia"/>
                <w:color w:val="000000"/>
                <w:kern w:val="0"/>
                <w:szCs w:val="21"/>
              </w:rPr>
              <w:t>運転者が長距離運転又は夜間の運転に従事する場合であって、疲労等により安全な運転を継続することができないおそれがあるときは、あらかじめ交替するための運転者を配置すること。</w:t>
            </w:r>
          </w:p>
        </w:tc>
      </w:tr>
      <w:tr w:rsidR="00FE5EB6" w14:paraId="3CD95EDE" w14:textId="77777777" w:rsidTr="008E15F3">
        <w:tc>
          <w:tcPr>
            <w:tcW w:w="1559" w:type="dxa"/>
          </w:tcPr>
          <w:p w14:paraId="03616C4F"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第五号の二</w:t>
            </w:r>
          </w:p>
        </w:tc>
        <w:tc>
          <w:tcPr>
            <w:tcW w:w="426" w:type="dxa"/>
          </w:tcPr>
          <w:p w14:paraId="306C28B2" w14:textId="77777777" w:rsidR="00FE5EB6" w:rsidRPr="003F6BC5" w:rsidRDefault="00FE5EB6" w:rsidP="00D82AC8">
            <w:pPr>
              <w:overflowPunct w:val="0"/>
              <w:textAlignment w:val="baseline"/>
              <w:rPr>
                <w:rFonts w:asciiTheme="minorEastAsia" w:hAnsiTheme="minorEastAsia" w:hint="eastAsia"/>
                <w:color w:val="323232"/>
              </w:rPr>
            </w:pPr>
          </w:p>
        </w:tc>
        <w:tc>
          <w:tcPr>
            <w:tcW w:w="7087" w:type="dxa"/>
          </w:tcPr>
          <w:p w14:paraId="4B84B325" w14:textId="23ED10B4" w:rsidR="00FE5EB6" w:rsidRPr="003F6BC5" w:rsidRDefault="00FE5EB6" w:rsidP="00D82AC8">
            <w:pPr>
              <w:overflowPunct w:val="0"/>
              <w:textAlignment w:val="baseline"/>
              <w:rPr>
                <w:rFonts w:asciiTheme="minorEastAsia" w:hAnsiTheme="minorEastAsia" w:cs="ＭＳ 明朝"/>
                <w:color w:val="000000"/>
                <w:kern w:val="0"/>
                <w:szCs w:val="21"/>
              </w:rPr>
            </w:pPr>
            <w:r w:rsidRPr="00FE5EB6">
              <w:rPr>
                <w:rFonts w:asciiTheme="minorEastAsia" w:hAnsiTheme="minorEastAsia" w:hint="eastAsia"/>
                <w:color w:val="323232"/>
              </w:rPr>
              <w:t>特定自動運行事業用自動車に特定自動運行保安員を乗務させ、若しくはこれと同等の措置を行い、又は遠隔からその業務を行わせること。</w:t>
            </w:r>
          </w:p>
        </w:tc>
      </w:tr>
      <w:tr w:rsidR="00FE5EB6" w14:paraId="340084DD" w14:textId="77777777" w:rsidTr="008E15F3">
        <w:tc>
          <w:tcPr>
            <w:tcW w:w="1559" w:type="dxa"/>
          </w:tcPr>
          <w:p w14:paraId="7A194EF9"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第六号</w:t>
            </w:r>
          </w:p>
        </w:tc>
        <w:tc>
          <w:tcPr>
            <w:tcW w:w="426" w:type="dxa"/>
          </w:tcPr>
          <w:p w14:paraId="0CEA3B81"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37F7AEFA" w14:textId="5ED8A03C"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color w:val="000000"/>
                <w:kern w:val="0"/>
                <w:szCs w:val="21"/>
              </w:rPr>
              <w:t>過積載による運送の防止について、従業員に対する指導及び監督を行うこと。</w:t>
            </w:r>
          </w:p>
        </w:tc>
      </w:tr>
      <w:tr w:rsidR="00FE5EB6" w14:paraId="5D876008" w14:textId="77777777" w:rsidTr="008E15F3">
        <w:tc>
          <w:tcPr>
            <w:tcW w:w="1559" w:type="dxa"/>
          </w:tcPr>
          <w:p w14:paraId="12F5D62C"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第七号</w:t>
            </w:r>
          </w:p>
        </w:tc>
        <w:tc>
          <w:tcPr>
            <w:tcW w:w="426" w:type="dxa"/>
          </w:tcPr>
          <w:p w14:paraId="4E21CDBE"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7C261F30" w14:textId="51CEDAF5"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color w:val="000000"/>
                <w:kern w:val="0"/>
                <w:szCs w:val="21"/>
              </w:rPr>
              <w:t>貨物の積載方法について、従業員に対する指導及び監督を行うこと。</w:t>
            </w:r>
          </w:p>
        </w:tc>
      </w:tr>
      <w:tr w:rsidR="00FE5EB6" w14:paraId="45247B0B" w14:textId="77777777" w:rsidTr="008E15F3">
        <w:tc>
          <w:tcPr>
            <w:tcW w:w="1559" w:type="dxa"/>
          </w:tcPr>
          <w:p w14:paraId="2D7C0CD1"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第七号の二</w:t>
            </w:r>
          </w:p>
        </w:tc>
        <w:tc>
          <w:tcPr>
            <w:tcW w:w="426" w:type="dxa"/>
          </w:tcPr>
          <w:p w14:paraId="5AAA35AE"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0B0475B6" w14:textId="0492FD39"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hint="eastAsia"/>
                <w:color w:val="000000"/>
                <w:kern w:val="0"/>
                <w:szCs w:val="21"/>
              </w:rPr>
              <w:t>道路法の規定による禁止又は制限等違反の防止について、運転者等に対する指導及び監督を行うこと。</w:t>
            </w:r>
          </w:p>
        </w:tc>
      </w:tr>
      <w:tr w:rsidR="00FE5EB6" w14:paraId="6EBC41C8" w14:textId="77777777" w:rsidTr="008E15F3">
        <w:tc>
          <w:tcPr>
            <w:tcW w:w="1559" w:type="dxa"/>
          </w:tcPr>
          <w:p w14:paraId="23912A1E"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第八号</w:t>
            </w:r>
          </w:p>
        </w:tc>
        <w:tc>
          <w:tcPr>
            <w:tcW w:w="426" w:type="dxa"/>
          </w:tcPr>
          <w:p w14:paraId="2672AB61"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13098191" w14:textId="7539E01B"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hint="eastAsia"/>
                <w:color w:val="000000"/>
                <w:kern w:val="0"/>
                <w:szCs w:val="21"/>
              </w:rPr>
              <w:t>運転者等に対して点呼を行い、報告を求め、確認を行い、及び指示を与え、並びに記録し、及びその記録を保存すること。</w:t>
            </w:r>
          </w:p>
        </w:tc>
      </w:tr>
      <w:tr w:rsidR="00FE5EB6" w14:paraId="4375E1E3" w14:textId="77777777" w:rsidTr="008E15F3">
        <w:tc>
          <w:tcPr>
            <w:tcW w:w="1559" w:type="dxa"/>
          </w:tcPr>
          <w:p w14:paraId="47349901"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第八号</w:t>
            </w:r>
          </w:p>
        </w:tc>
        <w:tc>
          <w:tcPr>
            <w:tcW w:w="426" w:type="dxa"/>
          </w:tcPr>
          <w:p w14:paraId="6D3661E6"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47DEA53D" w14:textId="143557DE"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color w:val="000000"/>
                <w:kern w:val="0"/>
                <w:szCs w:val="21"/>
              </w:rPr>
              <w:t>アルコール検知器を常時有効保持すること。</w:t>
            </w:r>
          </w:p>
        </w:tc>
      </w:tr>
      <w:tr w:rsidR="00FE5EB6" w14:paraId="0608131F" w14:textId="77777777" w:rsidTr="008E15F3">
        <w:tc>
          <w:tcPr>
            <w:tcW w:w="1559" w:type="dxa"/>
          </w:tcPr>
          <w:p w14:paraId="1C679B4E" w14:textId="77777777" w:rsidR="00FE5EB6" w:rsidRPr="00CA1CBF"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第九号</w:t>
            </w:r>
          </w:p>
        </w:tc>
        <w:tc>
          <w:tcPr>
            <w:tcW w:w="426" w:type="dxa"/>
          </w:tcPr>
          <w:p w14:paraId="49533FD1"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4DBDD102" w14:textId="1FE70D42"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color w:val="000000"/>
                <w:kern w:val="0"/>
                <w:szCs w:val="21"/>
              </w:rPr>
              <w:t>業務の記録を運転者等に対して記録させ、及びその記録を保存すること。</w:t>
            </w:r>
          </w:p>
        </w:tc>
      </w:tr>
      <w:tr w:rsidR="00FE5EB6" w14:paraId="1C58044B" w14:textId="77777777" w:rsidTr="008E15F3">
        <w:tc>
          <w:tcPr>
            <w:tcW w:w="1559" w:type="dxa"/>
          </w:tcPr>
          <w:p w14:paraId="7ED2341F"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第十号</w:t>
            </w:r>
          </w:p>
        </w:tc>
        <w:tc>
          <w:tcPr>
            <w:tcW w:w="426" w:type="dxa"/>
          </w:tcPr>
          <w:p w14:paraId="0F6EFE49"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61267B60" w14:textId="54082FBD"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color w:val="000000"/>
                <w:kern w:val="0"/>
                <w:szCs w:val="21"/>
              </w:rPr>
              <w:t>運行記録計を管理し、及びその記録を保存すること。</w:t>
            </w:r>
          </w:p>
        </w:tc>
      </w:tr>
      <w:tr w:rsidR="00FE5EB6" w14:paraId="29A790C2" w14:textId="77777777" w:rsidTr="008E15F3">
        <w:tc>
          <w:tcPr>
            <w:tcW w:w="1559" w:type="dxa"/>
          </w:tcPr>
          <w:p w14:paraId="77A972BB"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第十一号</w:t>
            </w:r>
          </w:p>
        </w:tc>
        <w:tc>
          <w:tcPr>
            <w:tcW w:w="426" w:type="dxa"/>
          </w:tcPr>
          <w:p w14:paraId="0921F0BB"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3AA366B2" w14:textId="01C8C833"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hint="eastAsia"/>
                <w:color w:val="000000"/>
                <w:kern w:val="0"/>
                <w:szCs w:val="21"/>
              </w:rPr>
              <w:t>貨物自動車運送事業輸送安全規則第九条に掲げる事業用自動車で運行記録計により記録することのできないものを運行の用に供さないこと。</w:t>
            </w:r>
          </w:p>
        </w:tc>
      </w:tr>
      <w:tr w:rsidR="00FE5EB6" w14:paraId="5FE33FFB" w14:textId="77777777" w:rsidTr="008E15F3">
        <w:tc>
          <w:tcPr>
            <w:tcW w:w="1559" w:type="dxa"/>
          </w:tcPr>
          <w:p w14:paraId="1C693101"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第十二号</w:t>
            </w:r>
          </w:p>
        </w:tc>
        <w:tc>
          <w:tcPr>
            <w:tcW w:w="426" w:type="dxa"/>
          </w:tcPr>
          <w:p w14:paraId="4FA04264"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0A89B4A1" w14:textId="060F663A"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color w:val="000000"/>
                <w:kern w:val="0"/>
                <w:szCs w:val="21"/>
              </w:rPr>
              <w:t>事故の記録を行い、及びその記録を保存すること。</w:t>
            </w:r>
          </w:p>
        </w:tc>
      </w:tr>
      <w:tr w:rsidR="00FE5EB6" w14:paraId="4ED0D11F" w14:textId="77777777" w:rsidTr="008E15F3">
        <w:tc>
          <w:tcPr>
            <w:tcW w:w="1559" w:type="dxa"/>
          </w:tcPr>
          <w:p w14:paraId="2C1A6291"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第十二号の二</w:t>
            </w:r>
          </w:p>
        </w:tc>
        <w:tc>
          <w:tcPr>
            <w:tcW w:w="426" w:type="dxa"/>
          </w:tcPr>
          <w:p w14:paraId="2B817C46" w14:textId="77777777" w:rsidR="00FE5EB6" w:rsidRDefault="00FE5EB6" w:rsidP="00D82AC8">
            <w:pPr>
              <w:overflowPunct w:val="0"/>
              <w:textAlignment w:val="baseline"/>
              <w:rPr>
                <w:rFonts w:asciiTheme="minorEastAsia" w:hAnsiTheme="minorEastAsia" w:hint="eastAsia"/>
                <w:color w:val="323232"/>
              </w:rPr>
            </w:pPr>
          </w:p>
        </w:tc>
        <w:tc>
          <w:tcPr>
            <w:tcW w:w="7087" w:type="dxa"/>
          </w:tcPr>
          <w:p w14:paraId="0B441B1D" w14:textId="63C82C84" w:rsidR="00FE5EB6" w:rsidRPr="00CA1CBF" w:rsidRDefault="00FE5EB6" w:rsidP="00D82AC8">
            <w:pPr>
              <w:overflowPunct w:val="0"/>
              <w:textAlignment w:val="baseline"/>
              <w:rPr>
                <w:rFonts w:asciiTheme="minorEastAsia" w:hAnsiTheme="minorEastAsia" w:cs="ＭＳ 明朝"/>
                <w:color w:val="000000"/>
                <w:kern w:val="0"/>
                <w:szCs w:val="21"/>
              </w:rPr>
            </w:pPr>
            <w:r w:rsidRPr="00FE5EB6">
              <w:rPr>
                <w:rFonts w:asciiTheme="minorEastAsia" w:hAnsiTheme="minorEastAsia" w:hint="eastAsia"/>
                <w:color w:val="323232"/>
              </w:rPr>
              <w:t>運行指示書を作成し、及びその写しに変更の内容を記載し、運転者等に対し適切な指示を行い、運行指示書を事業用自動車の運転者等に携行させ、及び変更の内容を記載させ、並びに運行指示書及びその写しの保存をすること。</w:t>
            </w:r>
          </w:p>
        </w:tc>
      </w:tr>
      <w:tr w:rsidR="00FE5EB6" w14:paraId="7F7B7FE4" w14:textId="77777777" w:rsidTr="008E15F3">
        <w:tc>
          <w:tcPr>
            <w:tcW w:w="1559" w:type="dxa"/>
          </w:tcPr>
          <w:p w14:paraId="3BF364D5"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第十三号</w:t>
            </w:r>
          </w:p>
        </w:tc>
        <w:tc>
          <w:tcPr>
            <w:tcW w:w="426" w:type="dxa"/>
          </w:tcPr>
          <w:p w14:paraId="2DEEA889"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03701FAA" w14:textId="1FAE1C14"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color w:val="000000"/>
                <w:kern w:val="0"/>
                <w:szCs w:val="21"/>
              </w:rPr>
              <w:t>運転者等台帳を作成し、営業所に備え置くこと。</w:t>
            </w:r>
          </w:p>
        </w:tc>
      </w:tr>
    </w:tbl>
    <w:p w14:paraId="1DDC8353" w14:textId="77777777" w:rsidR="008E15F3" w:rsidRDefault="008E15F3">
      <w:r>
        <w:br w:type="page"/>
      </w:r>
    </w:p>
    <w:tbl>
      <w:tblPr>
        <w:tblStyle w:val="ab"/>
        <w:tblW w:w="9072" w:type="dxa"/>
        <w:tblInd w:w="137" w:type="dxa"/>
        <w:tblLayout w:type="fixed"/>
        <w:tblLook w:val="04A0" w:firstRow="1" w:lastRow="0" w:firstColumn="1" w:lastColumn="0" w:noHBand="0" w:noVBand="1"/>
      </w:tblPr>
      <w:tblGrid>
        <w:gridCol w:w="1559"/>
        <w:gridCol w:w="426"/>
        <w:gridCol w:w="7087"/>
      </w:tblGrid>
      <w:tr w:rsidR="00FE5EB6" w14:paraId="4609A705" w14:textId="77777777" w:rsidTr="008E15F3">
        <w:tc>
          <w:tcPr>
            <w:tcW w:w="1559" w:type="dxa"/>
          </w:tcPr>
          <w:p w14:paraId="3FE64471" w14:textId="2CB10368"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lastRenderedPageBreak/>
              <w:t>第十四号</w:t>
            </w:r>
          </w:p>
        </w:tc>
        <w:tc>
          <w:tcPr>
            <w:tcW w:w="426" w:type="dxa"/>
          </w:tcPr>
          <w:p w14:paraId="0103C62A"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7FDC6B34" w14:textId="4B99C01D" w:rsidR="00FE5EB6" w:rsidRDefault="00FE5EB6" w:rsidP="00D82AC8">
            <w:pPr>
              <w:overflowPunct w:val="0"/>
              <w:textAlignment w:val="baseline"/>
              <w:rPr>
                <w:rFonts w:ascii="Times New Roman" w:eastAsia="ＭＳ 明朝" w:hAnsi="Times New Roman" w:cs="ＭＳ 明朝"/>
                <w:color w:val="000000"/>
                <w:kern w:val="0"/>
                <w:szCs w:val="21"/>
              </w:rPr>
            </w:pPr>
            <w:r w:rsidRPr="00FE5EB6">
              <w:rPr>
                <w:rFonts w:ascii="Times New Roman" w:eastAsia="ＭＳ 明朝" w:hAnsi="Times New Roman" w:cs="ＭＳ 明朝" w:hint="eastAsia"/>
                <w:color w:val="000000"/>
                <w:kern w:val="0"/>
                <w:szCs w:val="21"/>
              </w:rPr>
              <w:t>乗務員等に対する指導、監督及び特別な指導を行うとともに、記録及び保存を行うこと。</w:t>
            </w:r>
          </w:p>
        </w:tc>
      </w:tr>
      <w:tr w:rsidR="00FE5EB6" w14:paraId="5DB672FB" w14:textId="77777777" w:rsidTr="008E15F3">
        <w:tc>
          <w:tcPr>
            <w:tcW w:w="1559" w:type="dxa"/>
          </w:tcPr>
          <w:p w14:paraId="313383A9" w14:textId="2954D079" w:rsidR="00FE5EB6" w:rsidRDefault="00FE5EB6" w:rsidP="00D82AC8">
            <w:pPr>
              <w:overflowPunct w:val="0"/>
              <w:textAlignment w:val="baseline"/>
              <w:rPr>
                <w:rFonts w:ascii="Times New Roman" w:eastAsia="ＭＳ 明朝" w:hAnsi="Times New Roman" w:cs="ＭＳ 明朝" w:hint="eastAsia"/>
                <w:color w:val="000000"/>
                <w:kern w:val="0"/>
                <w:szCs w:val="21"/>
              </w:rPr>
            </w:pPr>
            <w:r>
              <w:rPr>
                <w:rFonts w:ascii="Times New Roman" w:eastAsia="ＭＳ 明朝" w:hAnsi="Times New Roman" w:cs="ＭＳ 明朝" w:hint="eastAsia"/>
                <w:color w:val="000000"/>
                <w:kern w:val="0"/>
                <w:szCs w:val="21"/>
              </w:rPr>
              <w:t>第十四号</w:t>
            </w:r>
            <w:r>
              <w:rPr>
                <w:rFonts w:ascii="Times New Roman" w:eastAsia="ＭＳ 明朝" w:hAnsi="Times New Roman" w:cs="ＭＳ 明朝" w:hint="eastAsia"/>
                <w:color w:val="000000"/>
                <w:kern w:val="0"/>
                <w:szCs w:val="21"/>
              </w:rPr>
              <w:t>の二</w:t>
            </w:r>
          </w:p>
        </w:tc>
        <w:tc>
          <w:tcPr>
            <w:tcW w:w="426" w:type="dxa"/>
          </w:tcPr>
          <w:p w14:paraId="204EBF71"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08130BC0" w14:textId="10E1C8C6" w:rsidR="00FE5EB6" w:rsidRPr="00FE5EB6" w:rsidRDefault="00FE5EB6" w:rsidP="00D82AC8">
            <w:pPr>
              <w:overflowPunct w:val="0"/>
              <w:textAlignment w:val="baseline"/>
              <w:rPr>
                <w:rFonts w:ascii="Times New Roman" w:eastAsia="ＭＳ 明朝" w:hAnsi="Times New Roman" w:cs="ＭＳ 明朝" w:hint="eastAsia"/>
                <w:color w:val="000000"/>
                <w:kern w:val="0"/>
                <w:szCs w:val="21"/>
              </w:rPr>
            </w:pPr>
            <w:r w:rsidRPr="00FE5EB6">
              <w:rPr>
                <w:rFonts w:ascii="Times New Roman" w:eastAsia="ＭＳ 明朝" w:hAnsi="Times New Roman" w:cs="ＭＳ 明朝"/>
                <w:color w:val="000000"/>
                <w:kern w:val="0"/>
                <w:szCs w:val="21"/>
              </w:rPr>
              <w:t>運転者に適性診断を受診させること。</w:t>
            </w:r>
          </w:p>
        </w:tc>
      </w:tr>
      <w:tr w:rsidR="00FE5EB6" w14:paraId="20EA42DF" w14:textId="77777777" w:rsidTr="008E15F3">
        <w:tc>
          <w:tcPr>
            <w:tcW w:w="1559" w:type="dxa"/>
          </w:tcPr>
          <w:p w14:paraId="7FF2480A"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第十五号</w:t>
            </w:r>
          </w:p>
        </w:tc>
        <w:tc>
          <w:tcPr>
            <w:tcW w:w="426" w:type="dxa"/>
          </w:tcPr>
          <w:p w14:paraId="7896A7FC" w14:textId="77777777" w:rsidR="00FE5EB6" w:rsidRDefault="00FE5EB6" w:rsidP="00D82AC8">
            <w:pPr>
              <w:overflowPunct w:val="0"/>
              <w:textAlignment w:val="baseline"/>
              <w:rPr>
                <w:rFonts w:ascii="Times New Roman" w:eastAsia="ＭＳ 明朝" w:hAnsi="Times New Roman" w:cs="ＭＳ 明朝" w:hint="eastAsia"/>
                <w:color w:val="000000"/>
                <w:kern w:val="0"/>
                <w:szCs w:val="21"/>
              </w:rPr>
            </w:pPr>
          </w:p>
        </w:tc>
        <w:tc>
          <w:tcPr>
            <w:tcW w:w="7087" w:type="dxa"/>
          </w:tcPr>
          <w:p w14:paraId="0CC29C13" w14:textId="2D6F1960" w:rsidR="00FE5EB6" w:rsidRPr="00942910" w:rsidRDefault="00FE5EB6" w:rsidP="00D82AC8">
            <w:pPr>
              <w:overflowPunct w:val="0"/>
              <w:textAlignment w:val="baseline"/>
              <w:rPr>
                <w:rFonts w:asciiTheme="minorEastAsia" w:hAnsiTheme="minorEastAsia"/>
                <w:color w:val="323232"/>
              </w:rPr>
            </w:pPr>
            <w:r w:rsidRPr="00FE5EB6">
              <w:rPr>
                <w:rFonts w:ascii="Times New Roman" w:eastAsia="ＭＳ 明朝" w:hAnsi="Times New Roman" w:cs="ＭＳ 明朝"/>
                <w:color w:val="000000"/>
                <w:kern w:val="0"/>
                <w:szCs w:val="21"/>
              </w:rPr>
              <w:t>異常気象時等における措置を行うこと。</w:t>
            </w:r>
          </w:p>
        </w:tc>
      </w:tr>
      <w:tr w:rsidR="00FE5EB6" w14:paraId="487AF9E2" w14:textId="77777777" w:rsidTr="008E15F3">
        <w:tc>
          <w:tcPr>
            <w:tcW w:w="1559" w:type="dxa"/>
          </w:tcPr>
          <w:p w14:paraId="561420CE"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第十六号</w:t>
            </w:r>
          </w:p>
        </w:tc>
        <w:tc>
          <w:tcPr>
            <w:tcW w:w="426" w:type="dxa"/>
          </w:tcPr>
          <w:p w14:paraId="075CBF46" w14:textId="77777777" w:rsidR="00FE5EB6" w:rsidRDefault="00FE5EB6" w:rsidP="00D82AC8">
            <w:pPr>
              <w:overflowPunct w:val="0"/>
              <w:textAlignment w:val="baseline"/>
              <w:rPr>
                <w:rFonts w:asciiTheme="minorEastAsia" w:hAnsiTheme="minorEastAsia" w:hint="eastAsia"/>
                <w:color w:val="323232"/>
              </w:rPr>
            </w:pPr>
          </w:p>
        </w:tc>
        <w:tc>
          <w:tcPr>
            <w:tcW w:w="7087" w:type="dxa"/>
          </w:tcPr>
          <w:p w14:paraId="5D3B56BA" w14:textId="0486B109" w:rsidR="00FE5EB6" w:rsidRDefault="00FE5EB6" w:rsidP="00D82AC8">
            <w:pPr>
              <w:overflowPunct w:val="0"/>
              <w:textAlignment w:val="baseline"/>
              <w:rPr>
                <w:rFonts w:asciiTheme="minorEastAsia" w:hAnsiTheme="minorEastAsia"/>
                <w:color w:val="323232"/>
              </w:rPr>
            </w:pPr>
            <w:r w:rsidRPr="00FE5EB6">
              <w:rPr>
                <w:rFonts w:asciiTheme="minorEastAsia" w:hAnsiTheme="minorEastAsia"/>
                <w:color w:val="323232"/>
              </w:rPr>
              <w:t>補助者に対する指導及び監督を行うこと。</w:t>
            </w:r>
          </w:p>
        </w:tc>
      </w:tr>
      <w:tr w:rsidR="00FE5EB6" w14:paraId="1A9F4D9A" w14:textId="77777777" w:rsidTr="008E15F3">
        <w:tc>
          <w:tcPr>
            <w:tcW w:w="1559" w:type="dxa"/>
          </w:tcPr>
          <w:p w14:paraId="30D1248D"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第十七号</w:t>
            </w:r>
          </w:p>
          <w:p w14:paraId="6273F9B5" w14:textId="77777777" w:rsidR="00FE5EB6" w:rsidRPr="00942910" w:rsidRDefault="00FE5EB6" w:rsidP="00D82AC8">
            <w:pPr>
              <w:rPr>
                <w:rFonts w:ascii="Times New Roman" w:eastAsia="ＭＳ 明朝" w:hAnsi="Times New Roman" w:cs="ＭＳ 明朝"/>
                <w:szCs w:val="21"/>
              </w:rPr>
            </w:pPr>
          </w:p>
        </w:tc>
        <w:tc>
          <w:tcPr>
            <w:tcW w:w="426" w:type="dxa"/>
          </w:tcPr>
          <w:p w14:paraId="2799458C" w14:textId="77777777" w:rsidR="00FE5EB6" w:rsidRDefault="00FE5EB6" w:rsidP="00D82AC8">
            <w:pPr>
              <w:overflowPunct w:val="0"/>
              <w:textAlignment w:val="baseline"/>
              <w:rPr>
                <w:rFonts w:asciiTheme="minorEastAsia" w:hAnsiTheme="minorEastAsia" w:hint="eastAsia"/>
                <w:color w:val="323232"/>
              </w:rPr>
            </w:pPr>
          </w:p>
        </w:tc>
        <w:tc>
          <w:tcPr>
            <w:tcW w:w="7087" w:type="dxa"/>
          </w:tcPr>
          <w:p w14:paraId="163F6F58" w14:textId="0C346112" w:rsidR="00FE5EB6" w:rsidRDefault="00FE5EB6" w:rsidP="00D82AC8">
            <w:pPr>
              <w:overflowPunct w:val="0"/>
              <w:textAlignment w:val="baseline"/>
              <w:rPr>
                <w:rFonts w:asciiTheme="minorEastAsia" w:hAnsiTheme="minorEastAsia"/>
                <w:color w:val="323232"/>
              </w:rPr>
            </w:pPr>
            <w:r w:rsidRPr="00FE5EB6">
              <w:rPr>
                <w:rFonts w:asciiTheme="minorEastAsia" w:hAnsiTheme="minorEastAsia" w:hint="eastAsia"/>
                <w:color w:val="323232"/>
              </w:rPr>
              <w:t>事業用自動車の運行の安全の確保について、従業員に対する指導・監督を行うこと。</w:t>
            </w:r>
          </w:p>
        </w:tc>
      </w:tr>
    </w:tbl>
    <w:p w14:paraId="6C70BD1F" w14:textId="77777777" w:rsidR="00DD0E56" w:rsidRPr="00043E71" w:rsidRDefault="00DD0E56" w:rsidP="00DD0E56">
      <w:pPr>
        <w:overflowPunct w:val="0"/>
        <w:ind w:leftChars="100" w:left="420" w:hangingChars="100" w:hanging="210"/>
        <w:textAlignment w:val="baseline"/>
        <w:rPr>
          <w:rFonts w:ascii="Times New Roman" w:eastAsia="ＭＳ 明朝" w:hAnsi="Times New Roman" w:cs="ＭＳ 明朝"/>
          <w:color w:val="000000"/>
          <w:kern w:val="0"/>
          <w:szCs w:val="21"/>
        </w:rPr>
      </w:pPr>
    </w:p>
    <w:p w14:paraId="3C144699" w14:textId="77777777" w:rsidR="00DD0E56" w:rsidRDefault="00DD0E56" w:rsidP="00DD0E56">
      <w:pPr>
        <w:overflowPunct w:val="0"/>
        <w:ind w:leftChars="50" w:left="105"/>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貨物自動車運送事業輸送安全規則第</w:t>
      </w:r>
      <w:r>
        <w:rPr>
          <w:rFonts w:ascii="Times New Roman" w:eastAsia="ＭＳ 明朝" w:hAnsi="Times New Roman" w:cs="ＭＳ 明朝" w:hint="eastAsia"/>
          <w:color w:val="000000"/>
          <w:kern w:val="0"/>
          <w:szCs w:val="21"/>
        </w:rPr>
        <w:t>20</w:t>
      </w:r>
      <w:r>
        <w:rPr>
          <w:rFonts w:ascii="Times New Roman" w:eastAsia="ＭＳ 明朝" w:hAnsi="Times New Roman" w:cs="ＭＳ 明朝" w:hint="eastAsia"/>
          <w:color w:val="000000"/>
          <w:kern w:val="0"/>
          <w:szCs w:val="21"/>
        </w:rPr>
        <w:t>条第</w:t>
      </w:r>
      <w:r>
        <w:rPr>
          <w:rFonts w:ascii="Times New Roman" w:eastAsia="ＭＳ 明朝" w:hAnsi="Times New Roman" w:cs="ＭＳ 明朝" w:hint="eastAsia"/>
          <w:color w:val="000000"/>
          <w:kern w:val="0"/>
          <w:szCs w:val="21"/>
        </w:rPr>
        <w:t>2</w:t>
      </w:r>
      <w:r>
        <w:rPr>
          <w:rFonts w:ascii="Times New Roman" w:eastAsia="ＭＳ 明朝" w:hAnsi="Times New Roman" w:cs="ＭＳ 明朝" w:hint="eastAsia"/>
          <w:color w:val="000000"/>
          <w:kern w:val="0"/>
          <w:szCs w:val="21"/>
        </w:rPr>
        <w:t>項に規定する運行管理業務の一元化において集約する業務</w:t>
      </w:r>
    </w:p>
    <w:tbl>
      <w:tblPr>
        <w:tblStyle w:val="ab"/>
        <w:tblW w:w="9072" w:type="dxa"/>
        <w:tblInd w:w="137" w:type="dxa"/>
        <w:tblLook w:val="04A0" w:firstRow="1" w:lastRow="0" w:firstColumn="1" w:lastColumn="0" w:noHBand="0" w:noVBand="1"/>
      </w:tblPr>
      <w:tblGrid>
        <w:gridCol w:w="1554"/>
        <w:gridCol w:w="431"/>
        <w:gridCol w:w="7087"/>
      </w:tblGrid>
      <w:tr w:rsidR="00FE5EB6" w14:paraId="2234AA91" w14:textId="77777777" w:rsidTr="008E15F3">
        <w:tc>
          <w:tcPr>
            <w:tcW w:w="1554" w:type="dxa"/>
          </w:tcPr>
          <w:p w14:paraId="70E52AA1" w14:textId="7A72C115" w:rsidR="00FE5EB6" w:rsidRPr="00043E71" w:rsidRDefault="00FE5EB6" w:rsidP="00D82AC8">
            <w:pPr>
              <w:overflowPunct w:val="0"/>
              <w:textAlignment w:val="baseline"/>
              <w:rPr>
                <w:rFonts w:ascii="Times New Roman" w:eastAsia="ＭＳ 明朝" w:hAnsi="Times New Roman" w:cs="ＭＳ 明朝"/>
                <w:color w:val="000000"/>
                <w:kern w:val="0"/>
                <w:szCs w:val="21"/>
              </w:rPr>
            </w:pPr>
          </w:p>
        </w:tc>
        <w:tc>
          <w:tcPr>
            <w:tcW w:w="431" w:type="dxa"/>
          </w:tcPr>
          <w:p w14:paraId="292D7615" w14:textId="30A50A67" w:rsidR="00FE5EB6" w:rsidRDefault="00FE5EB6" w:rsidP="00D82AC8">
            <w:pPr>
              <w:overflowPunct w:val="0"/>
              <w:textAlignment w:val="baseline"/>
              <w:rPr>
                <w:rFonts w:ascii="Times New Roman" w:eastAsia="ＭＳ 明朝" w:hAnsi="Times New Roman" w:cs="ＭＳ 明朝" w:hint="eastAsia"/>
                <w:color w:val="000000"/>
                <w:kern w:val="0"/>
                <w:szCs w:val="21"/>
              </w:rPr>
            </w:pPr>
            <w:r>
              <w:rPr>
                <w:rFonts w:ascii="Times New Roman" w:eastAsia="ＭＳ 明朝" w:hAnsi="Times New Roman" w:cs="ＭＳ 明朝" w:hint="eastAsia"/>
                <w:color w:val="000000"/>
                <w:kern w:val="0"/>
                <w:szCs w:val="21"/>
              </w:rPr>
              <w:t>該当に○</w:t>
            </w:r>
          </w:p>
        </w:tc>
        <w:tc>
          <w:tcPr>
            <w:tcW w:w="7087" w:type="dxa"/>
          </w:tcPr>
          <w:p w14:paraId="22A15488" w14:textId="4F5C7626"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運行管理業務（抄）</w:t>
            </w:r>
          </w:p>
        </w:tc>
      </w:tr>
      <w:tr w:rsidR="00FE5EB6" w14:paraId="3D44B7DE" w14:textId="77777777" w:rsidTr="008E15F3">
        <w:tc>
          <w:tcPr>
            <w:tcW w:w="1554" w:type="dxa"/>
          </w:tcPr>
          <w:p w14:paraId="59804940" w14:textId="77777777" w:rsidR="00FE5EB6" w:rsidRDefault="00FE5EB6" w:rsidP="00D82AC8">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第一号</w:t>
            </w:r>
          </w:p>
        </w:tc>
        <w:tc>
          <w:tcPr>
            <w:tcW w:w="431" w:type="dxa"/>
          </w:tcPr>
          <w:p w14:paraId="3E3EFA46" w14:textId="77777777" w:rsidR="00FE5EB6" w:rsidRPr="00FE5EB6" w:rsidRDefault="00FE5EB6" w:rsidP="00D82AC8">
            <w:pPr>
              <w:overflowPunct w:val="0"/>
              <w:textAlignment w:val="baseline"/>
              <w:rPr>
                <w:rFonts w:asciiTheme="minorEastAsia" w:hAnsiTheme="minorEastAsia" w:hint="eastAsia"/>
                <w:color w:val="323232"/>
              </w:rPr>
            </w:pPr>
          </w:p>
        </w:tc>
        <w:tc>
          <w:tcPr>
            <w:tcW w:w="7087" w:type="dxa"/>
          </w:tcPr>
          <w:p w14:paraId="29870E84" w14:textId="5017DB25" w:rsidR="00FE5EB6" w:rsidRPr="00C34B51" w:rsidRDefault="00FE5EB6" w:rsidP="00D82AC8">
            <w:pPr>
              <w:overflowPunct w:val="0"/>
              <w:textAlignment w:val="baseline"/>
              <w:rPr>
                <w:rFonts w:asciiTheme="minorEastAsia" w:hAnsiTheme="minorEastAsia" w:cs="ＭＳ 明朝"/>
                <w:color w:val="000000"/>
                <w:kern w:val="0"/>
                <w:szCs w:val="21"/>
              </w:rPr>
            </w:pPr>
            <w:r w:rsidRPr="00FE5EB6">
              <w:rPr>
                <w:rFonts w:asciiTheme="minorEastAsia" w:hAnsiTheme="minorEastAsia" w:hint="eastAsia"/>
                <w:color w:val="323232"/>
              </w:rPr>
              <w:t>特別積合せ貨物運送を行う一般貨物自動車運送事業の運行管理者は、貨物自動車運送事業輸送安全規則第三条第八項の規定により、事業用自動車の運行の業務に関する基準を作成し、かつ、当該基準の遵守について乗務員等に対する指導及び監督を行うこと。</w:t>
            </w:r>
          </w:p>
        </w:tc>
      </w:tr>
    </w:tbl>
    <w:p w14:paraId="104E984B" w14:textId="77777777" w:rsidR="00DD0E56" w:rsidRDefault="00DD0E56" w:rsidP="00DD0E56">
      <w:pPr>
        <w:overflowPunct w:val="0"/>
        <w:ind w:leftChars="50" w:left="105"/>
        <w:textAlignment w:val="baseline"/>
        <w:rPr>
          <w:rFonts w:ascii="Times New Roman" w:eastAsia="ＭＳ 明朝" w:hAnsi="Times New Roman" w:cs="ＭＳ 明朝"/>
          <w:color w:val="000000"/>
          <w:kern w:val="0"/>
          <w:sz w:val="18"/>
          <w:szCs w:val="18"/>
        </w:rPr>
      </w:pPr>
    </w:p>
    <w:p w14:paraId="32352427" w14:textId="77777777" w:rsidR="00DD0E56" w:rsidRDefault="00DD0E56" w:rsidP="00DD0E56">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上記事項に対し、補足があれば記入してください。</w:t>
      </w:r>
    </w:p>
    <w:p w14:paraId="3BB8BAC5" w14:textId="77777777" w:rsidR="00DD0E56" w:rsidRPr="003F6BC5" w:rsidRDefault="00DD0E56" w:rsidP="00DD0E56">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（例：業務前点呼は集約しないが、業務後点呼は集約をする　等）</w:t>
      </w:r>
    </w:p>
    <w:tbl>
      <w:tblPr>
        <w:tblStyle w:val="ab"/>
        <w:tblW w:w="8718" w:type="dxa"/>
        <w:tblInd w:w="360" w:type="dxa"/>
        <w:tblLook w:val="04A0" w:firstRow="1" w:lastRow="0" w:firstColumn="1" w:lastColumn="0" w:noHBand="0" w:noVBand="1"/>
      </w:tblPr>
      <w:tblGrid>
        <w:gridCol w:w="8718"/>
      </w:tblGrid>
      <w:tr w:rsidR="00DD0E56" w14:paraId="4C5372D8" w14:textId="77777777" w:rsidTr="000464B2">
        <w:trPr>
          <w:trHeight w:val="5806"/>
        </w:trPr>
        <w:tc>
          <w:tcPr>
            <w:tcW w:w="8718" w:type="dxa"/>
          </w:tcPr>
          <w:p w14:paraId="38E1DFCC" w14:textId="77777777" w:rsidR="00DD0E56" w:rsidRDefault="00DD0E56" w:rsidP="00D82AC8">
            <w:pPr>
              <w:overflowPunct w:val="0"/>
              <w:textAlignment w:val="baseline"/>
              <w:rPr>
                <w:rFonts w:ascii="Times New Roman" w:eastAsia="ＭＳ 明朝" w:hAnsi="Times New Roman" w:cs="ＭＳ 明朝"/>
                <w:color w:val="000000"/>
                <w:kern w:val="0"/>
                <w:sz w:val="18"/>
                <w:szCs w:val="18"/>
              </w:rPr>
            </w:pPr>
          </w:p>
        </w:tc>
      </w:tr>
    </w:tbl>
    <w:p w14:paraId="3869AB3A" w14:textId="77777777" w:rsidR="00DD0E56" w:rsidRDefault="00DD0E56" w:rsidP="00DD0E56">
      <w:pPr>
        <w:overflowPunct w:val="0"/>
        <w:ind w:left="360" w:hangingChars="200" w:hanging="360"/>
        <w:textAlignment w:val="baseline"/>
        <w:rPr>
          <w:rFonts w:ascii="Times New Roman" w:eastAsia="ＭＳ 明朝" w:hAnsi="Times New Roman" w:cs="ＭＳ 明朝"/>
          <w:color w:val="000000"/>
          <w:kern w:val="0"/>
          <w:sz w:val="18"/>
          <w:szCs w:val="18"/>
        </w:rPr>
      </w:pPr>
    </w:p>
    <w:sectPr w:rsidR="00DD0E56"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10890" w14:textId="77777777" w:rsidR="00DC44E4" w:rsidRDefault="00DC44E4">
      <w:r>
        <w:separator/>
      </w:r>
    </w:p>
  </w:endnote>
  <w:endnote w:type="continuationSeparator" w:id="0">
    <w:p w14:paraId="2E2074C6" w14:textId="77777777" w:rsidR="00DC44E4" w:rsidRDefault="00DC44E4">
      <w:r>
        <w:continuationSeparator/>
      </w:r>
    </w:p>
  </w:endnote>
  <w:endnote w:type="continuationNotice" w:id="1">
    <w:p w14:paraId="00ED0E17" w14:textId="77777777" w:rsidR="00DC44E4" w:rsidRDefault="00DC4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6738" w14:textId="77777777" w:rsidR="00DC44E4" w:rsidRDefault="00DC44E4">
      <w:r>
        <w:separator/>
      </w:r>
    </w:p>
  </w:footnote>
  <w:footnote w:type="continuationSeparator" w:id="0">
    <w:p w14:paraId="240F0066" w14:textId="77777777" w:rsidR="00DC44E4" w:rsidRDefault="00DC44E4">
      <w:r>
        <w:continuationSeparator/>
      </w:r>
    </w:p>
  </w:footnote>
  <w:footnote w:type="continuationNotice" w:id="1">
    <w:p w14:paraId="010D0177" w14:textId="77777777" w:rsidR="00DC44E4" w:rsidRDefault="00DC4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BF85" w14:textId="0F47B4BE"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5BBE"/>
    <w:multiLevelType w:val="hybridMultilevel"/>
    <w:tmpl w:val="F7F4E90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DD06476"/>
    <w:multiLevelType w:val="hybridMultilevel"/>
    <w:tmpl w:val="F7F4E90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4"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7"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8"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462385996">
    <w:abstractNumId w:val="2"/>
  </w:num>
  <w:num w:numId="2" w16cid:durableId="1370647995">
    <w:abstractNumId w:val="6"/>
  </w:num>
  <w:num w:numId="3" w16cid:durableId="2010138559">
    <w:abstractNumId w:val="7"/>
  </w:num>
  <w:num w:numId="4" w16cid:durableId="833767570">
    <w:abstractNumId w:val="4"/>
  </w:num>
  <w:num w:numId="5" w16cid:durableId="1572613960">
    <w:abstractNumId w:val="1"/>
  </w:num>
  <w:num w:numId="6" w16cid:durableId="646782283">
    <w:abstractNumId w:val="8"/>
  </w:num>
  <w:num w:numId="7" w16cid:durableId="2146310148">
    <w:abstractNumId w:val="5"/>
  </w:num>
  <w:num w:numId="8" w16cid:durableId="1171523884">
    <w:abstractNumId w:val="3"/>
  </w:num>
  <w:num w:numId="9" w16cid:durableId="163803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1E"/>
    <w:rsid w:val="000170F5"/>
    <w:rsid w:val="00037A36"/>
    <w:rsid w:val="00043E71"/>
    <w:rsid w:val="000464B2"/>
    <w:rsid w:val="00051518"/>
    <w:rsid w:val="00252A63"/>
    <w:rsid w:val="00344237"/>
    <w:rsid w:val="00356CAE"/>
    <w:rsid w:val="0037507E"/>
    <w:rsid w:val="00385F93"/>
    <w:rsid w:val="003B25DA"/>
    <w:rsid w:val="003F6BC5"/>
    <w:rsid w:val="00486AF6"/>
    <w:rsid w:val="004F412C"/>
    <w:rsid w:val="00531312"/>
    <w:rsid w:val="00543C78"/>
    <w:rsid w:val="00546889"/>
    <w:rsid w:val="0056147A"/>
    <w:rsid w:val="005677E2"/>
    <w:rsid w:val="00591E97"/>
    <w:rsid w:val="005A1931"/>
    <w:rsid w:val="00602A2C"/>
    <w:rsid w:val="006E21AC"/>
    <w:rsid w:val="0077158D"/>
    <w:rsid w:val="00794AA0"/>
    <w:rsid w:val="00856DD9"/>
    <w:rsid w:val="008923B7"/>
    <w:rsid w:val="008B0510"/>
    <w:rsid w:val="008B4C07"/>
    <w:rsid w:val="008E15F3"/>
    <w:rsid w:val="008F31F7"/>
    <w:rsid w:val="00912223"/>
    <w:rsid w:val="00937C71"/>
    <w:rsid w:val="00942910"/>
    <w:rsid w:val="00957258"/>
    <w:rsid w:val="0098614B"/>
    <w:rsid w:val="00A25CB2"/>
    <w:rsid w:val="00B71C24"/>
    <w:rsid w:val="00BD045C"/>
    <w:rsid w:val="00C34B51"/>
    <w:rsid w:val="00C80E06"/>
    <w:rsid w:val="00C8111E"/>
    <w:rsid w:val="00CA1CBF"/>
    <w:rsid w:val="00CD2A50"/>
    <w:rsid w:val="00CE6218"/>
    <w:rsid w:val="00D35B22"/>
    <w:rsid w:val="00D61DB0"/>
    <w:rsid w:val="00D82AC8"/>
    <w:rsid w:val="00DC44E4"/>
    <w:rsid w:val="00DD0E56"/>
    <w:rsid w:val="00E12FE8"/>
    <w:rsid w:val="00EA5676"/>
    <w:rsid w:val="00EF3EB9"/>
    <w:rsid w:val="00FE5EB6"/>
    <w:rsid w:val="00FF49DE"/>
    <w:rsid w:val="0176E9BB"/>
    <w:rsid w:val="03CA4C87"/>
    <w:rsid w:val="084AB636"/>
    <w:rsid w:val="0AACE36C"/>
    <w:rsid w:val="10DC5BFA"/>
    <w:rsid w:val="10FD6DBE"/>
    <w:rsid w:val="1971FF19"/>
    <w:rsid w:val="1E6C66C6"/>
    <w:rsid w:val="2AB8F266"/>
    <w:rsid w:val="34426A73"/>
    <w:rsid w:val="3D4EF015"/>
    <w:rsid w:val="411D8FE0"/>
    <w:rsid w:val="498565AF"/>
    <w:rsid w:val="4FDEBD62"/>
    <w:rsid w:val="67814316"/>
    <w:rsid w:val="6C0EEFDD"/>
    <w:rsid w:val="6CF878CF"/>
    <w:rsid w:val="77A3EB37"/>
    <w:rsid w:val="7833FAF3"/>
    <w:rsid w:val="7C4183E8"/>
    <w:rsid w:val="7E22A3D1"/>
    <w:rsid w:val="7F32F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B6A0F"/>
  <w15:chartTrackingRefBased/>
  <w15:docId w15:val="{61C6A5F9-273F-4244-9295-B9DA6497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11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C8111E"/>
    <w:pPr>
      <w:jc w:val="center"/>
    </w:pPr>
    <w:rPr>
      <w:sz w:val="24"/>
      <w:szCs w:val="24"/>
    </w:rPr>
  </w:style>
  <w:style w:type="character" w:customStyle="1" w:styleId="a9">
    <w:name w:val="記 (文字)"/>
    <w:basedOn w:val="a0"/>
    <w:link w:val="a8"/>
    <w:uiPriority w:val="99"/>
    <w:rsid w:val="00C8111E"/>
    <w:rPr>
      <w:sz w:val="24"/>
      <w:szCs w:val="24"/>
    </w:rPr>
  </w:style>
  <w:style w:type="paragraph" w:styleId="aa">
    <w:name w:val="List Paragraph"/>
    <w:basedOn w:val="a"/>
    <w:uiPriority w:val="34"/>
    <w:qFormat/>
    <w:rsid w:val="00C8111E"/>
    <w:pPr>
      <w:ind w:leftChars="400" w:left="840"/>
    </w:pPr>
  </w:style>
  <w:style w:type="table" w:styleId="ab">
    <w:name w:val="Table Grid"/>
    <w:basedOn w:val="a1"/>
    <w:uiPriority w:val="39"/>
    <w:rsid w:val="00C8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70F5"/>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2614">
      <w:bodyDiv w:val="1"/>
      <w:marLeft w:val="0"/>
      <w:marRight w:val="0"/>
      <w:marTop w:val="0"/>
      <w:marBottom w:val="0"/>
      <w:divBdr>
        <w:top w:val="none" w:sz="0" w:space="0" w:color="auto"/>
        <w:left w:val="none" w:sz="0" w:space="0" w:color="auto"/>
        <w:bottom w:val="none" w:sz="0" w:space="0" w:color="auto"/>
        <w:right w:val="none" w:sz="0" w:space="0" w:color="auto"/>
      </w:divBdr>
    </w:div>
    <w:div w:id="266549152">
      <w:bodyDiv w:val="1"/>
      <w:marLeft w:val="0"/>
      <w:marRight w:val="0"/>
      <w:marTop w:val="0"/>
      <w:marBottom w:val="0"/>
      <w:divBdr>
        <w:top w:val="none" w:sz="0" w:space="0" w:color="auto"/>
        <w:left w:val="none" w:sz="0" w:space="0" w:color="auto"/>
        <w:bottom w:val="none" w:sz="0" w:space="0" w:color="auto"/>
        <w:right w:val="none" w:sz="0" w:space="0" w:color="auto"/>
      </w:divBdr>
    </w:div>
    <w:div w:id="508256987">
      <w:bodyDiv w:val="1"/>
      <w:marLeft w:val="0"/>
      <w:marRight w:val="0"/>
      <w:marTop w:val="0"/>
      <w:marBottom w:val="0"/>
      <w:divBdr>
        <w:top w:val="none" w:sz="0" w:space="0" w:color="auto"/>
        <w:left w:val="none" w:sz="0" w:space="0" w:color="auto"/>
        <w:bottom w:val="none" w:sz="0" w:space="0" w:color="auto"/>
        <w:right w:val="none" w:sz="0" w:space="0" w:color="auto"/>
      </w:divBdr>
    </w:div>
    <w:div w:id="683940724">
      <w:bodyDiv w:val="1"/>
      <w:marLeft w:val="0"/>
      <w:marRight w:val="0"/>
      <w:marTop w:val="0"/>
      <w:marBottom w:val="0"/>
      <w:divBdr>
        <w:top w:val="none" w:sz="0" w:space="0" w:color="auto"/>
        <w:left w:val="none" w:sz="0" w:space="0" w:color="auto"/>
        <w:bottom w:val="none" w:sz="0" w:space="0" w:color="auto"/>
        <w:right w:val="none" w:sz="0" w:space="0" w:color="auto"/>
      </w:divBdr>
    </w:div>
    <w:div w:id="703360723">
      <w:bodyDiv w:val="1"/>
      <w:marLeft w:val="0"/>
      <w:marRight w:val="0"/>
      <w:marTop w:val="0"/>
      <w:marBottom w:val="0"/>
      <w:divBdr>
        <w:top w:val="none" w:sz="0" w:space="0" w:color="auto"/>
        <w:left w:val="none" w:sz="0" w:space="0" w:color="auto"/>
        <w:bottom w:val="none" w:sz="0" w:space="0" w:color="auto"/>
        <w:right w:val="none" w:sz="0" w:space="0" w:color="auto"/>
      </w:divBdr>
    </w:div>
    <w:div w:id="776171453">
      <w:bodyDiv w:val="1"/>
      <w:marLeft w:val="0"/>
      <w:marRight w:val="0"/>
      <w:marTop w:val="0"/>
      <w:marBottom w:val="0"/>
      <w:divBdr>
        <w:top w:val="none" w:sz="0" w:space="0" w:color="auto"/>
        <w:left w:val="none" w:sz="0" w:space="0" w:color="auto"/>
        <w:bottom w:val="none" w:sz="0" w:space="0" w:color="auto"/>
        <w:right w:val="none" w:sz="0" w:space="0" w:color="auto"/>
      </w:divBdr>
    </w:div>
    <w:div w:id="884561418">
      <w:bodyDiv w:val="1"/>
      <w:marLeft w:val="0"/>
      <w:marRight w:val="0"/>
      <w:marTop w:val="0"/>
      <w:marBottom w:val="0"/>
      <w:divBdr>
        <w:top w:val="none" w:sz="0" w:space="0" w:color="auto"/>
        <w:left w:val="none" w:sz="0" w:space="0" w:color="auto"/>
        <w:bottom w:val="none" w:sz="0" w:space="0" w:color="auto"/>
        <w:right w:val="none" w:sz="0" w:space="0" w:color="auto"/>
      </w:divBdr>
    </w:div>
    <w:div w:id="970139138">
      <w:bodyDiv w:val="1"/>
      <w:marLeft w:val="0"/>
      <w:marRight w:val="0"/>
      <w:marTop w:val="0"/>
      <w:marBottom w:val="0"/>
      <w:divBdr>
        <w:top w:val="none" w:sz="0" w:space="0" w:color="auto"/>
        <w:left w:val="none" w:sz="0" w:space="0" w:color="auto"/>
        <w:bottom w:val="none" w:sz="0" w:space="0" w:color="auto"/>
        <w:right w:val="none" w:sz="0" w:space="0" w:color="auto"/>
      </w:divBdr>
    </w:div>
    <w:div w:id="1130243615">
      <w:bodyDiv w:val="1"/>
      <w:marLeft w:val="0"/>
      <w:marRight w:val="0"/>
      <w:marTop w:val="0"/>
      <w:marBottom w:val="0"/>
      <w:divBdr>
        <w:top w:val="none" w:sz="0" w:space="0" w:color="auto"/>
        <w:left w:val="none" w:sz="0" w:space="0" w:color="auto"/>
        <w:bottom w:val="none" w:sz="0" w:space="0" w:color="auto"/>
        <w:right w:val="none" w:sz="0" w:space="0" w:color="auto"/>
      </w:divBdr>
    </w:div>
    <w:div w:id="1203515879">
      <w:bodyDiv w:val="1"/>
      <w:marLeft w:val="0"/>
      <w:marRight w:val="0"/>
      <w:marTop w:val="0"/>
      <w:marBottom w:val="0"/>
      <w:divBdr>
        <w:top w:val="none" w:sz="0" w:space="0" w:color="auto"/>
        <w:left w:val="none" w:sz="0" w:space="0" w:color="auto"/>
        <w:bottom w:val="none" w:sz="0" w:space="0" w:color="auto"/>
        <w:right w:val="none" w:sz="0" w:space="0" w:color="auto"/>
      </w:divBdr>
    </w:div>
    <w:div w:id="1365180656">
      <w:bodyDiv w:val="1"/>
      <w:marLeft w:val="0"/>
      <w:marRight w:val="0"/>
      <w:marTop w:val="0"/>
      <w:marBottom w:val="0"/>
      <w:divBdr>
        <w:top w:val="none" w:sz="0" w:space="0" w:color="auto"/>
        <w:left w:val="none" w:sz="0" w:space="0" w:color="auto"/>
        <w:bottom w:val="none" w:sz="0" w:space="0" w:color="auto"/>
        <w:right w:val="none" w:sz="0" w:space="0" w:color="auto"/>
      </w:divBdr>
    </w:div>
    <w:div w:id="1580942614">
      <w:bodyDiv w:val="1"/>
      <w:marLeft w:val="0"/>
      <w:marRight w:val="0"/>
      <w:marTop w:val="0"/>
      <w:marBottom w:val="0"/>
      <w:divBdr>
        <w:top w:val="none" w:sz="0" w:space="0" w:color="auto"/>
        <w:left w:val="none" w:sz="0" w:space="0" w:color="auto"/>
        <w:bottom w:val="none" w:sz="0" w:space="0" w:color="auto"/>
        <w:right w:val="none" w:sz="0" w:space="0" w:color="auto"/>
      </w:divBdr>
    </w:div>
    <w:div w:id="1863320640">
      <w:bodyDiv w:val="1"/>
      <w:marLeft w:val="0"/>
      <w:marRight w:val="0"/>
      <w:marTop w:val="0"/>
      <w:marBottom w:val="0"/>
      <w:divBdr>
        <w:top w:val="none" w:sz="0" w:space="0" w:color="auto"/>
        <w:left w:val="none" w:sz="0" w:space="0" w:color="auto"/>
        <w:bottom w:val="none" w:sz="0" w:space="0" w:color="auto"/>
        <w:right w:val="none" w:sz="0" w:space="0" w:color="auto"/>
      </w:divBdr>
    </w:div>
    <w:div w:id="1865551362">
      <w:bodyDiv w:val="1"/>
      <w:marLeft w:val="0"/>
      <w:marRight w:val="0"/>
      <w:marTop w:val="0"/>
      <w:marBottom w:val="0"/>
      <w:divBdr>
        <w:top w:val="none" w:sz="0" w:space="0" w:color="auto"/>
        <w:left w:val="none" w:sz="0" w:space="0" w:color="auto"/>
        <w:bottom w:val="none" w:sz="0" w:space="0" w:color="auto"/>
        <w:right w:val="none" w:sz="0" w:space="0" w:color="auto"/>
      </w:divBdr>
    </w:div>
    <w:div w:id="1920940256">
      <w:bodyDiv w:val="1"/>
      <w:marLeft w:val="0"/>
      <w:marRight w:val="0"/>
      <w:marTop w:val="0"/>
      <w:marBottom w:val="0"/>
      <w:divBdr>
        <w:top w:val="none" w:sz="0" w:space="0" w:color="auto"/>
        <w:left w:val="none" w:sz="0" w:space="0" w:color="auto"/>
        <w:bottom w:val="none" w:sz="0" w:space="0" w:color="auto"/>
        <w:right w:val="none" w:sz="0" w:space="0" w:color="auto"/>
      </w:divBdr>
    </w:div>
    <w:div w:id="207122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FC4F46FDB5394486B145AF0030587B" ma:contentTypeVersion="14" ma:contentTypeDescription="新しいドキュメントを作成します。" ma:contentTypeScope="" ma:versionID="4552dd880ad11cee6716a43cee57c4d8">
  <xsd:schema xmlns:xsd="http://www.w3.org/2001/XMLSchema" xmlns:xs="http://www.w3.org/2001/XMLSchema" xmlns:p="http://schemas.microsoft.com/office/2006/metadata/properties" xmlns:ns2="9b2a38ac-2084-46d9-aeda-69d597c3c7a8" xmlns:ns3="1df1f9f7-24b8-4df3-b35e-0d75ab45747b" targetNamespace="http://schemas.microsoft.com/office/2006/metadata/properties" ma:root="true" ma:fieldsID="c1f20a52ab327fc2a107746f553260d4" ns2:_="" ns3:_="">
    <xsd:import namespace="9b2a38ac-2084-46d9-aeda-69d597c3c7a8"/>
    <xsd:import namespace="1df1f9f7-24b8-4df3-b35e-0d75ab4574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a38ac-2084-46d9-aeda-69d597c3c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1f9f7-24b8-4df3-b35e-0d75ab4574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44715c-e260-4179-a9d8-6f86bcff0630}" ma:internalName="TaxCatchAll" ma:showField="CatchAllData" ma:web="1df1f9f7-24b8-4df3-b35e-0d75ab4574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D3A57-A4FD-4307-AFAB-62FF9D51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a38ac-2084-46d9-aeda-69d597c3c7a8"/>
    <ds:schemaRef ds:uri="1df1f9f7-24b8-4df3-b35e-0d75ab457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9DEAD-8C1E-46C7-AD96-1C981187DB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215</Words>
  <Characters>1232</Characters>
  <DocSecurity>0</DocSecurity>
  <Lines>10</Lines>
  <Paragraphs>2</Paragraphs>
  <ScaleCrop>false</ScaleCrop>
  <LinksUpToDate>false</LinksUpToDate>
  <CharactersWithSpaces>1445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