
<file path=[Content_Types].xml><?xml version="1.0" encoding="utf-8"?>
<Types xmlns="http://schemas.openxmlformats.org/package/2006/content-types">
  <Default Extension="bmp" ContentType="image/bmp"/>
  <Default Extension="dib" ContentType="image/dib"/>
  <Default Extension="emf" ContentType="image/x-emf"/>
  <Default Extension="gif" ContentType="image/gif"/>
  <Default Extension="glb" ContentType="model/gltf.binary"/>
  <Default Extension="jpg" ContentType="image/jpeg"/>
  <Default Extension="png" ContentType="image/png"/>
  <Default Extension="rels" ContentType="application/vnd.openxmlformats-package.relationships+xml"/>
  <Default Extension="svg" ContentType="image/svg+xml"/>
  <Default Extension="tiff" ContentType="image/tiff"/>
  <Default Extension="wdp" ContentType="image/vnd.ms-photo"/>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51"/>
        <w:ind w:left="0" w:leftChars="0" w:firstLine="0" w:firstLineChars="0"/>
        <w:jc w:val="right"/>
        <w:rPr>
          <w:rFonts w:hint="eastAsia" w:ascii="ＭＳ Ｐ明朝" w:hAnsi="ＭＳ Ｐ明朝" w:eastAsia="ＭＳ Ｐ明朝"/>
          <w:sz w:val="24"/>
          <w:bdr w:val="single" w:color="auto" w:sz="4" w:space="0"/>
        </w:rPr>
      </w:pPr>
      <w:r>
        <w:rPr>
          <w:rFonts w:hint="eastAsia" w:ascii="ＭＳ Ｐ明朝" w:hAnsi="ＭＳ Ｐ明朝" w:eastAsia="ＭＳ Ｐ明朝"/>
          <w:sz w:val="24"/>
          <w:bdr w:val="single" w:color="auto" w:sz="4" w:space="0"/>
        </w:rPr>
        <w:t>自治体名：千葉県横芝光町</w:t>
      </w:r>
    </w:p>
    <w:p>
      <w:pPr>
        <w:pStyle w:val="0"/>
        <w:ind w:left="0" w:leftChars="0" w:firstLine="0" w:firstLineChars="0"/>
        <w:rPr>
          <w:rFonts w:hint="eastAsia" w:ascii="ＭＳ Ｐ明朝" w:hAnsi="ＭＳ Ｐ明朝" w:eastAsia="ＭＳ Ｐ明朝"/>
        </w:rPr>
      </w:pPr>
    </w:p>
    <w:p>
      <w:pPr>
        <w:pStyle w:val="51"/>
        <w:ind w:left="0" w:leftChars="0" w:firstLine="0" w:firstLineChars="0"/>
        <w:rPr>
          <w:rFonts w:hint="eastAsia" w:ascii="ＭＳ Ｐ明朝" w:hAnsi="ＭＳ Ｐ明朝" w:eastAsia="ＭＳ Ｐ明朝"/>
          <w:sz w:val="28"/>
        </w:rPr>
      </w:pPr>
      <w:bookmarkStart w:id="0" w:name="_Hlk100911823"/>
      <w:r>
        <w:rPr>
          <w:rFonts w:hint="eastAsia" w:ascii="ＭＳ Ｐ明朝" w:hAnsi="ＭＳ Ｐ明朝" w:eastAsia="ＭＳ Ｐ明朝"/>
          <w:sz w:val="28"/>
        </w:rPr>
        <w:t>自動運転社会実装推進事業</w:t>
      </w:r>
    </w:p>
    <w:p>
      <w:pPr>
        <w:pStyle w:val="51"/>
        <w:ind w:left="0" w:leftChars="0" w:firstLine="0" w:firstLineChars="0"/>
        <w:rPr>
          <w:rFonts w:hint="eastAsia" w:ascii="ＭＳ Ｐ明朝" w:hAnsi="ＭＳ Ｐ明朝" w:eastAsia="ＭＳ Ｐ明朝"/>
          <w:sz w:val="28"/>
        </w:rPr>
      </w:pPr>
      <w:r>
        <w:rPr>
          <w:rFonts w:hint="eastAsia" w:ascii="ＭＳ Ｐ明朝" w:hAnsi="ＭＳ Ｐ明朝" w:eastAsia="ＭＳ Ｐ明朝"/>
          <w:sz w:val="28"/>
        </w:rPr>
        <w:t>最終報告書（概要版）</w:t>
      </w:r>
    </w:p>
    <w:p>
      <w:pPr>
        <w:pStyle w:val="0"/>
        <w:ind w:left="0" w:leftChars="0" w:firstLine="0" w:firstLineChars="0"/>
        <w:rPr>
          <w:rFonts w:hint="eastAsia" w:ascii="ＭＳ Ｐ明朝" w:hAnsi="ＭＳ Ｐ明朝" w:eastAsia="ＭＳ Ｐ明朝"/>
        </w:rPr>
      </w:pPr>
    </w:p>
    <w:p>
      <w:pPr>
        <w:pStyle w:val="0"/>
        <w:ind w:left="0" w:leftChars="0" w:firstLine="0" w:firstLineChars="0"/>
        <w:rPr>
          <w:rFonts w:hint="eastAsia" w:ascii="ＭＳ Ｐ明朝" w:hAnsi="ＭＳ Ｐ明朝" w:eastAsia="ＭＳ Ｐ明朝"/>
          <w:b w:val="1"/>
          <w:spacing w:val="-4"/>
          <w:sz w:val="26"/>
        </w:rPr>
      </w:pPr>
      <w:bookmarkEnd w:id="0"/>
      <w:r>
        <w:rPr>
          <w:rFonts w:hint="eastAsia" w:ascii="ＭＳ Ｐ明朝" w:hAnsi="ＭＳ Ｐ明朝" w:eastAsia="ＭＳ Ｐ明朝"/>
          <w:b w:val="1"/>
          <w:spacing w:val="-4"/>
          <w:sz w:val="26"/>
        </w:rPr>
        <w:t>【事業背景・目的】</w:t>
      </w:r>
    </w:p>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rPr>
        <mc:AlternateContent>
          <mc:Choice Requires="wps">
            <w:drawing>
              <wp:inline distT="0" distB="0" distL="114300" distR="114300">
                <wp:extent cx="6472555" cy="3566795"/>
                <wp:effectExtent l="635" t="635" r="29845" b="10795"/>
                <wp:docPr id="1026" name="正方形/長方形 8"/>
                <a:graphic xmlns:a="http://schemas.openxmlformats.org/drawingml/2006/main">
                  <a:graphicData uri="http://schemas.microsoft.com/office/word/2010/wordprocessingShape">
                    <wps:wsp>
                      <wps:cNvPr id="1026" name="正方形/長方形 8"/>
                      <wps:cNvSpPr/>
                      <wps:spPr>
                        <a:xfrm>
                          <a:off x="0" y="0"/>
                          <a:ext cx="6472555" cy="3566795"/>
                        </a:xfrm>
                        <a:prstGeom prst="rect">
                          <a:avLst/>
                        </a:prstGeom>
                        <a:no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ascii="ＭＳ Ｐ明朝" w:hAnsi="ＭＳ Ｐ明朝" w:eastAsia="ＭＳ Ｐ明朝"/>
                              </w:rPr>
                              <w:t>横芝光町では、若年世代の流出や高齢化の進行により地域の移動需要が変化している。また、公共交通分野ではドライバー不足（いわゆる</w:t>
                            </w:r>
                            <w:r>
                              <w:rPr>
                                <w:rFonts w:hint="eastAsia" w:ascii="ＭＳ Ｐ明朝" w:hAnsi="ＭＳ Ｐ明朝" w:eastAsia="ＭＳ Ｐ明朝"/>
                              </w:rPr>
                              <w:t>2024</w:t>
                            </w:r>
                            <w:r>
                              <w:rPr>
                                <w:rFonts w:hint="eastAsia" w:ascii="ＭＳ Ｐ明朝" w:hAnsi="ＭＳ Ｐ明朝" w:eastAsia="ＭＳ Ｐ明朝"/>
                              </w:rPr>
                              <w:t>年問題）への対応が課題となっており、持続可能な地域交通の確保が求められている。</w:t>
                            </w:r>
                          </w:p>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ascii="ＭＳ Ｐ明朝" w:hAnsi="ＭＳ Ｐ明朝" w:eastAsia="ＭＳ Ｐ明朝"/>
                              </w:rPr>
                              <w:t>一方で、成田国際空港の機能強化（第</w:t>
                            </w:r>
                            <w:r>
                              <w:rPr>
                                <w:rFonts w:hint="eastAsia" w:ascii="ＭＳ Ｐ明朝" w:hAnsi="ＭＳ Ｐ明朝" w:eastAsia="ＭＳ Ｐ明朝"/>
                              </w:rPr>
                              <w:t>3</w:t>
                            </w:r>
                            <w:r>
                              <w:rPr>
                                <w:rFonts w:hint="eastAsia" w:ascii="ＭＳ Ｐ明朝" w:hAnsi="ＭＳ Ｐ明朝" w:eastAsia="ＭＳ Ｐ明朝"/>
                              </w:rPr>
                              <w:t>滑走路供用予定）や圏央道・銚子連絡道の整備により、今後周辺地域における人流・物流の増加が見込まれている。これらの環境変化を踏まえ、町では若年世代の定住促進や地域の利便性向上に向けた新たな都市構造への転換を進めている。</w:t>
                            </w:r>
                          </w:p>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ascii="ＭＳ Ｐ明朝" w:hAnsi="ＭＳ Ｐ明朝" w:eastAsia="ＭＳ Ｐ明朝"/>
                              </w:rPr>
                              <w:t>本事業では、自動運転技術を活用した移動サービスの実証運行を通じて、</w:t>
                            </w:r>
                          </w:p>
                          <w:p>
                            <w:pPr>
                              <w:pStyle w:val="0"/>
                              <w:widowControl w:val="1"/>
                              <w:numPr>
                                <w:ilvl w:val="0"/>
                                <w:numId w:val="5"/>
                              </w:numPr>
                              <w:autoSpaceDE w:val="1"/>
                              <w:autoSpaceDN w:val="1"/>
                              <w:spacing w:before="100" w:beforeLines="0" w:beforeAutospacing="1" w:after="100" w:afterLines="0" w:afterAutospacing="1"/>
                              <w:ind w:leftChars="0" w:firstLineChars="0"/>
                              <w:rPr>
                                <w:rFonts w:hint="eastAsia" w:ascii="ＭＳ Ｐ明朝" w:hAnsi="ＭＳ Ｐ明朝" w:eastAsia="ＭＳ Ｐ明朝"/>
                              </w:rPr>
                            </w:pPr>
                            <w:r>
                              <w:rPr>
                                <w:rFonts w:hint="eastAsia" w:ascii="ＭＳ Ｐ明朝" w:hAnsi="ＭＳ Ｐ明朝" w:eastAsia="ＭＳ Ｐ明朝"/>
                              </w:rPr>
                              <w:t>高齢化やドライバー不足に対応した持続可能な公共交通の構築</w:t>
                            </w:r>
                          </w:p>
                          <w:p>
                            <w:pPr>
                              <w:pStyle w:val="0"/>
                              <w:widowControl w:val="1"/>
                              <w:numPr>
                                <w:ilvl w:val="0"/>
                                <w:numId w:val="5"/>
                              </w:numPr>
                              <w:autoSpaceDE w:val="1"/>
                              <w:autoSpaceDN w:val="1"/>
                              <w:spacing w:before="100" w:beforeLines="0" w:beforeAutospacing="1" w:after="100" w:afterLines="0" w:afterAutospacing="1"/>
                              <w:ind w:leftChars="0" w:firstLineChars="0"/>
                              <w:rPr>
                                <w:rFonts w:hint="eastAsia" w:ascii="ＭＳ Ｐ明朝" w:hAnsi="ＭＳ Ｐ明朝" w:eastAsia="ＭＳ Ｐ明朝"/>
                              </w:rPr>
                            </w:pPr>
                            <w:r>
                              <w:rPr>
                                <w:rFonts w:hint="eastAsia" w:ascii="ＭＳ Ｐ明朝" w:hAnsi="ＭＳ Ｐ明朝" w:eastAsia="ＭＳ Ｐ明朝"/>
                              </w:rPr>
                              <w:t>マイカー依存から公共交通利用への行動変容の促進</w:t>
                            </w:r>
                          </w:p>
                          <w:p>
                            <w:pPr>
                              <w:pStyle w:val="0"/>
                              <w:widowControl w:val="1"/>
                              <w:numPr>
                                <w:ilvl w:val="0"/>
                                <w:numId w:val="5"/>
                              </w:numPr>
                              <w:autoSpaceDE w:val="1"/>
                              <w:autoSpaceDN w:val="1"/>
                              <w:spacing w:before="100" w:beforeLines="0" w:beforeAutospacing="1" w:after="100" w:afterLines="0" w:afterAutospacing="1"/>
                              <w:ind w:leftChars="0" w:firstLineChars="0"/>
                              <w:rPr>
                                <w:rFonts w:hint="eastAsia" w:ascii="ＭＳ Ｐ明朝" w:hAnsi="ＭＳ Ｐ明朝" w:eastAsia="ＭＳ Ｐ明朝"/>
                              </w:rPr>
                            </w:pPr>
                            <w:r>
                              <w:rPr>
                                <w:rFonts w:hint="eastAsia" w:ascii="ＭＳ Ｐ明朝" w:hAnsi="ＭＳ Ｐ明朝" w:eastAsia="ＭＳ Ｐ明朝"/>
                              </w:rPr>
                              <w:t>成田空港周辺地域の発展を見据えた交通ネットワーク形成</w:t>
                            </w:r>
                          </w:p>
                          <w:p>
                            <w:pPr>
                              <w:pStyle w:val="0"/>
                              <w:widowControl w:val="1"/>
                              <w:numPr>
                                <w:ilvl w:val="0"/>
                                <w:numId w:val="5"/>
                              </w:numPr>
                              <w:autoSpaceDE w:val="1"/>
                              <w:autoSpaceDN w:val="1"/>
                              <w:spacing w:before="100" w:beforeLines="0" w:beforeAutospacing="1" w:after="100" w:afterLines="0" w:afterAutospacing="1"/>
                              <w:ind w:leftChars="0" w:firstLineChars="0"/>
                              <w:rPr>
                                <w:rFonts w:hint="eastAsia" w:ascii="ＭＳ Ｐ明朝" w:hAnsi="ＭＳ Ｐ明朝" w:eastAsia="ＭＳ Ｐ明朝"/>
                              </w:rPr>
                            </w:pPr>
                            <w:r>
                              <w:rPr>
                                <w:rFonts w:hint="eastAsia" w:ascii="ＭＳ Ｐ明朝" w:hAnsi="ＭＳ Ｐ明朝" w:eastAsia="ＭＳ Ｐ明朝"/>
                              </w:rPr>
                              <w:t>将来的なレベル</w:t>
                            </w:r>
                            <w:r>
                              <w:rPr>
                                <w:rFonts w:hint="eastAsia" w:ascii="ＭＳ Ｐ明朝" w:hAnsi="ＭＳ Ｐ明朝" w:eastAsia="ＭＳ Ｐ明朝"/>
                              </w:rPr>
                              <w:t>4</w:t>
                            </w:r>
                            <w:r>
                              <w:rPr>
                                <w:rFonts w:hint="eastAsia" w:ascii="ＭＳ Ｐ明朝" w:hAnsi="ＭＳ Ｐ明朝" w:eastAsia="ＭＳ Ｐ明朝"/>
                              </w:rPr>
                              <w:t>自動運転サービスの社会実装可能性の検証</w:t>
                            </w:r>
                          </w:p>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ascii="ＭＳ Ｐ明朝" w:hAnsi="ＭＳ Ｐ明朝" w:eastAsia="ＭＳ Ｐ明朝"/>
                              </w:rPr>
                              <w:t>を目的として実証を実施した。</w:t>
                            </w:r>
                          </w:p>
                          <w:p>
                            <w:pPr>
                              <w:pStyle w:val="0"/>
                              <w:ind w:left="0" w:leftChars="0" w:firstLine="0" w:firstLineChars="0"/>
                              <w:jc w:val="both"/>
                              <w:rPr>
                                <w:rFonts w:hint="eastAsia" w:ascii="ＭＳ Ｐ明朝" w:hAnsi="ＭＳ Ｐ明朝" w:eastAsia="ＭＳ Ｐ明朝"/>
                              </w:rPr>
                            </w:pPr>
                            <w:r>
                              <w:rPr>
                                <w:rFonts w:hint="eastAsia" w:ascii="ＭＳ Ｐ明朝" w:hAnsi="ＭＳ Ｐ明朝" w:eastAsia="ＭＳ Ｐ明朝"/>
                              </w:rPr>
                              <w:t>また、ゼロカーボンシティ宣言（</w:t>
                            </w:r>
                            <w:r>
                              <w:rPr>
                                <w:rFonts w:hint="eastAsia" w:ascii="ＭＳ Ｐ明朝" w:hAnsi="ＭＳ Ｐ明朝" w:eastAsia="ＭＳ Ｐ明朝"/>
                              </w:rPr>
                              <w:t>2050</w:t>
                            </w:r>
                            <w:r>
                              <w:rPr>
                                <w:rFonts w:hint="eastAsia" w:ascii="ＭＳ Ｐ明朝" w:hAnsi="ＭＳ Ｐ明朝" w:eastAsia="ＭＳ Ｐ明朝"/>
                              </w:rPr>
                              <w:t>年</w:t>
                            </w:r>
                            <w:r>
                              <w:rPr>
                                <w:rFonts w:hint="eastAsia" w:ascii="ＭＳ Ｐ明朝" w:hAnsi="ＭＳ Ｐ明朝" w:eastAsia="ＭＳ Ｐ明朝"/>
                              </w:rPr>
                              <w:t>CO</w:t>
                            </w:r>
                            <w:r>
                              <w:rPr>
                                <w:rFonts w:hint="eastAsia" w:ascii="ＭＳ Ｐ明朝" w:hAnsi="ＭＳ Ｐ明朝" w:eastAsia="ＭＳ Ｐ明朝"/>
                              </w:rPr>
                              <w:t>₂排出量実質ゼロ）を踏まえ、</w:t>
                            </w:r>
                            <w:r>
                              <w:rPr>
                                <w:rFonts w:hint="eastAsia" w:ascii="ＭＳ Ｐ明朝" w:hAnsi="ＭＳ Ｐ明朝" w:eastAsia="ＭＳ Ｐ明朝"/>
                              </w:rPr>
                              <w:t>EV</w:t>
                            </w:r>
                            <w:r>
                              <w:rPr>
                                <w:rFonts w:hint="eastAsia" w:ascii="ＭＳ Ｐ明朝" w:hAnsi="ＭＳ Ｐ明朝" w:eastAsia="ＭＳ Ｐ明朝"/>
                              </w:rPr>
                              <w:t>車両による環境負荷低減効果についても検証を行った。</w:t>
                            </w:r>
                          </w:p>
                        </w:txbxContent>
                      </wps:txbx>
                      <wps:bodyPr vertOverflow="overflow" horzOverflow="overflow" anchor="ctr"/>
                    </wps:wsp>
                  </a:graphicData>
                </a:graphic>
              </wp:inline>
            </w:drawing>
          </mc:Choice>
          <mc:Fallback>
            <w:pict>
              <v:rect id="正方形/長方形 8" style="v-text-anchor:middle;height:280.85000000000002pt;width:509.65pt;" o:spid="_x0000_s1026" filled="f" stroked="t" strokecolor="#000000 [3213]" strokeweight="0.25pt" o:spt="1">
                <v:fill/>
                <v:stroke linestyle="single" endcap="flat" dashstyle="solid" filltype="solid"/>
                <v:textbox style="layout-flow:horizontal;">
                  <w:txbxContent>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ascii="ＭＳ Ｐ明朝" w:hAnsi="ＭＳ Ｐ明朝" w:eastAsia="ＭＳ Ｐ明朝"/>
                        </w:rPr>
                        <w:t>横芝光町では、若年世代の流出や高齢化の進行により地域の移動需要が変化している。また、公共交通分野ではドライバー不足（いわゆる</w:t>
                      </w:r>
                      <w:r>
                        <w:rPr>
                          <w:rFonts w:hint="eastAsia" w:ascii="ＭＳ Ｐ明朝" w:hAnsi="ＭＳ Ｐ明朝" w:eastAsia="ＭＳ Ｐ明朝"/>
                        </w:rPr>
                        <w:t>2024</w:t>
                      </w:r>
                      <w:r>
                        <w:rPr>
                          <w:rFonts w:hint="eastAsia" w:ascii="ＭＳ Ｐ明朝" w:hAnsi="ＭＳ Ｐ明朝" w:eastAsia="ＭＳ Ｐ明朝"/>
                        </w:rPr>
                        <w:t>年問題）への対応が課題となっており、持続可能な地域交通の確保が求められている。</w:t>
                      </w:r>
                    </w:p>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ascii="ＭＳ Ｐ明朝" w:hAnsi="ＭＳ Ｐ明朝" w:eastAsia="ＭＳ Ｐ明朝"/>
                        </w:rPr>
                        <w:t>一方で、成田国際空港の機能強化（第</w:t>
                      </w:r>
                      <w:r>
                        <w:rPr>
                          <w:rFonts w:hint="eastAsia" w:ascii="ＭＳ Ｐ明朝" w:hAnsi="ＭＳ Ｐ明朝" w:eastAsia="ＭＳ Ｐ明朝"/>
                        </w:rPr>
                        <w:t>3</w:t>
                      </w:r>
                      <w:r>
                        <w:rPr>
                          <w:rFonts w:hint="eastAsia" w:ascii="ＭＳ Ｐ明朝" w:hAnsi="ＭＳ Ｐ明朝" w:eastAsia="ＭＳ Ｐ明朝"/>
                        </w:rPr>
                        <w:t>滑走路供用予定）や圏央道・銚子連絡道の整備により、今後周辺地域における人流・物流の増加が見込まれている。これらの環境変化を踏まえ、町では若年世代の定住促進や地域の利便性向上に向けた新たな都市構造への転換を進めている。</w:t>
                      </w:r>
                    </w:p>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ascii="ＭＳ Ｐ明朝" w:hAnsi="ＭＳ Ｐ明朝" w:eastAsia="ＭＳ Ｐ明朝"/>
                        </w:rPr>
                        <w:t>本事業では、自動運転技術を活用した移動サービスの実証運行を通じて、</w:t>
                      </w:r>
                    </w:p>
                    <w:p>
                      <w:pPr>
                        <w:pStyle w:val="0"/>
                        <w:widowControl w:val="1"/>
                        <w:numPr>
                          <w:ilvl w:val="0"/>
                          <w:numId w:val="5"/>
                        </w:numPr>
                        <w:autoSpaceDE w:val="1"/>
                        <w:autoSpaceDN w:val="1"/>
                        <w:spacing w:before="100" w:beforeLines="0" w:beforeAutospacing="1" w:after="100" w:afterLines="0" w:afterAutospacing="1"/>
                        <w:ind w:leftChars="0" w:firstLineChars="0"/>
                        <w:rPr>
                          <w:rFonts w:hint="eastAsia" w:ascii="ＭＳ Ｐ明朝" w:hAnsi="ＭＳ Ｐ明朝" w:eastAsia="ＭＳ Ｐ明朝"/>
                        </w:rPr>
                      </w:pPr>
                      <w:r>
                        <w:rPr>
                          <w:rFonts w:hint="eastAsia" w:ascii="ＭＳ Ｐ明朝" w:hAnsi="ＭＳ Ｐ明朝" w:eastAsia="ＭＳ Ｐ明朝"/>
                        </w:rPr>
                        <w:t>高齢化やドライバー不足に対応した持続可能な公共交通の構築</w:t>
                      </w:r>
                    </w:p>
                    <w:p>
                      <w:pPr>
                        <w:pStyle w:val="0"/>
                        <w:widowControl w:val="1"/>
                        <w:numPr>
                          <w:ilvl w:val="0"/>
                          <w:numId w:val="5"/>
                        </w:numPr>
                        <w:autoSpaceDE w:val="1"/>
                        <w:autoSpaceDN w:val="1"/>
                        <w:spacing w:before="100" w:beforeLines="0" w:beforeAutospacing="1" w:after="100" w:afterLines="0" w:afterAutospacing="1"/>
                        <w:ind w:leftChars="0" w:firstLineChars="0"/>
                        <w:rPr>
                          <w:rFonts w:hint="eastAsia" w:ascii="ＭＳ Ｐ明朝" w:hAnsi="ＭＳ Ｐ明朝" w:eastAsia="ＭＳ Ｐ明朝"/>
                        </w:rPr>
                      </w:pPr>
                      <w:r>
                        <w:rPr>
                          <w:rFonts w:hint="eastAsia" w:ascii="ＭＳ Ｐ明朝" w:hAnsi="ＭＳ Ｐ明朝" w:eastAsia="ＭＳ Ｐ明朝"/>
                        </w:rPr>
                        <w:t>マイカー依存から公共交通利用への行動変容の促進</w:t>
                      </w:r>
                    </w:p>
                    <w:p>
                      <w:pPr>
                        <w:pStyle w:val="0"/>
                        <w:widowControl w:val="1"/>
                        <w:numPr>
                          <w:ilvl w:val="0"/>
                          <w:numId w:val="5"/>
                        </w:numPr>
                        <w:autoSpaceDE w:val="1"/>
                        <w:autoSpaceDN w:val="1"/>
                        <w:spacing w:before="100" w:beforeLines="0" w:beforeAutospacing="1" w:after="100" w:afterLines="0" w:afterAutospacing="1"/>
                        <w:ind w:leftChars="0" w:firstLineChars="0"/>
                        <w:rPr>
                          <w:rFonts w:hint="eastAsia" w:ascii="ＭＳ Ｐ明朝" w:hAnsi="ＭＳ Ｐ明朝" w:eastAsia="ＭＳ Ｐ明朝"/>
                        </w:rPr>
                      </w:pPr>
                      <w:r>
                        <w:rPr>
                          <w:rFonts w:hint="eastAsia" w:ascii="ＭＳ Ｐ明朝" w:hAnsi="ＭＳ Ｐ明朝" w:eastAsia="ＭＳ Ｐ明朝"/>
                        </w:rPr>
                        <w:t>成田空港周辺地域の発展を見据えた交通ネットワーク形成</w:t>
                      </w:r>
                    </w:p>
                    <w:p>
                      <w:pPr>
                        <w:pStyle w:val="0"/>
                        <w:widowControl w:val="1"/>
                        <w:numPr>
                          <w:ilvl w:val="0"/>
                          <w:numId w:val="5"/>
                        </w:numPr>
                        <w:autoSpaceDE w:val="1"/>
                        <w:autoSpaceDN w:val="1"/>
                        <w:spacing w:before="100" w:beforeLines="0" w:beforeAutospacing="1" w:after="100" w:afterLines="0" w:afterAutospacing="1"/>
                        <w:ind w:leftChars="0" w:firstLineChars="0"/>
                        <w:rPr>
                          <w:rFonts w:hint="eastAsia" w:ascii="ＭＳ Ｐ明朝" w:hAnsi="ＭＳ Ｐ明朝" w:eastAsia="ＭＳ Ｐ明朝"/>
                        </w:rPr>
                      </w:pPr>
                      <w:r>
                        <w:rPr>
                          <w:rFonts w:hint="eastAsia" w:ascii="ＭＳ Ｐ明朝" w:hAnsi="ＭＳ Ｐ明朝" w:eastAsia="ＭＳ Ｐ明朝"/>
                        </w:rPr>
                        <w:t>将来的なレベル</w:t>
                      </w:r>
                      <w:r>
                        <w:rPr>
                          <w:rFonts w:hint="eastAsia" w:ascii="ＭＳ Ｐ明朝" w:hAnsi="ＭＳ Ｐ明朝" w:eastAsia="ＭＳ Ｐ明朝"/>
                        </w:rPr>
                        <w:t>4</w:t>
                      </w:r>
                      <w:r>
                        <w:rPr>
                          <w:rFonts w:hint="eastAsia" w:ascii="ＭＳ Ｐ明朝" w:hAnsi="ＭＳ Ｐ明朝" w:eastAsia="ＭＳ Ｐ明朝"/>
                        </w:rPr>
                        <w:t>自動運転サービスの社会実装可能性の検証</w:t>
                      </w:r>
                    </w:p>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ascii="ＭＳ Ｐ明朝" w:hAnsi="ＭＳ Ｐ明朝" w:eastAsia="ＭＳ Ｐ明朝"/>
                        </w:rPr>
                        <w:t>を目的として実証を実施した。</w:t>
                      </w:r>
                    </w:p>
                    <w:p>
                      <w:pPr>
                        <w:pStyle w:val="0"/>
                        <w:ind w:left="0" w:leftChars="0" w:firstLine="0" w:firstLineChars="0"/>
                        <w:jc w:val="both"/>
                        <w:rPr>
                          <w:rFonts w:hint="eastAsia" w:ascii="ＭＳ Ｐ明朝" w:hAnsi="ＭＳ Ｐ明朝" w:eastAsia="ＭＳ Ｐ明朝"/>
                        </w:rPr>
                      </w:pPr>
                      <w:r>
                        <w:rPr>
                          <w:rFonts w:hint="eastAsia" w:ascii="ＭＳ Ｐ明朝" w:hAnsi="ＭＳ Ｐ明朝" w:eastAsia="ＭＳ Ｐ明朝"/>
                        </w:rPr>
                        <w:t>また、ゼロカーボンシティ宣言（</w:t>
                      </w:r>
                      <w:r>
                        <w:rPr>
                          <w:rFonts w:hint="eastAsia" w:ascii="ＭＳ Ｐ明朝" w:hAnsi="ＭＳ Ｐ明朝" w:eastAsia="ＭＳ Ｐ明朝"/>
                        </w:rPr>
                        <w:t>2050</w:t>
                      </w:r>
                      <w:r>
                        <w:rPr>
                          <w:rFonts w:hint="eastAsia" w:ascii="ＭＳ Ｐ明朝" w:hAnsi="ＭＳ Ｐ明朝" w:eastAsia="ＭＳ Ｐ明朝"/>
                        </w:rPr>
                        <w:t>年</w:t>
                      </w:r>
                      <w:r>
                        <w:rPr>
                          <w:rFonts w:hint="eastAsia" w:ascii="ＭＳ Ｐ明朝" w:hAnsi="ＭＳ Ｐ明朝" w:eastAsia="ＭＳ Ｐ明朝"/>
                        </w:rPr>
                        <w:t>CO</w:t>
                      </w:r>
                      <w:r>
                        <w:rPr>
                          <w:rFonts w:hint="eastAsia" w:ascii="ＭＳ Ｐ明朝" w:hAnsi="ＭＳ Ｐ明朝" w:eastAsia="ＭＳ Ｐ明朝"/>
                        </w:rPr>
                        <w:t>₂排出量実質ゼロ）を踏まえ、</w:t>
                      </w:r>
                      <w:r>
                        <w:rPr>
                          <w:rFonts w:hint="eastAsia" w:ascii="ＭＳ Ｐ明朝" w:hAnsi="ＭＳ Ｐ明朝" w:eastAsia="ＭＳ Ｐ明朝"/>
                        </w:rPr>
                        <w:t>EV</w:t>
                      </w:r>
                      <w:r>
                        <w:rPr>
                          <w:rFonts w:hint="eastAsia" w:ascii="ＭＳ Ｐ明朝" w:hAnsi="ＭＳ Ｐ明朝" w:eastAsia="ＭＳ Ｐ明朝"/>
                        </w:rPr>
                        <w:t>車両による環境負荷低減効果についても検証を行った。</w:t>
                      </w:r>
                    </w:p>
                  </w:txbxContent>
                </v:textbox>
                <v:imagedata o:title=""/>
                <w10:anchorlock/>
              </v:rect>
            </w:pict>
          </mc:Fallback>
        </mc:AlternateContent>
      </w:r>
    </w:p>
    <w:p>
      <w:pPr>
        <w:pStyle w:val="0"/>
        <w:ind w:left="0" w:leftChars="0" w:firstLine="0" w:firstLineChars="0"/>
        <w:rPr>
          <w:rFonts w:hint="eastAsia" w:ascii="ＭＳ Ｐ明朝" w:hAnsi="ＭＳ Ｐ明朝" w:eastAsia="ＭＳ Ｐ明朝"/>
          <w:spacing w:val="-4"/>
          <w:sz w:val="26"/>
        </w:rPr>
      </w:pPr>
    </w:p>
    <w:p>
      <w:pPr>
        <w:pStyle w:val="0"/>
        <w:ind w:left="0" w:leftChars="0" w:firstLine="0" w:firstLineChars="0"/>
        <w:rPr>
          <w:rFonts w:hint="eastAsia" w:ascii="ＭＳ Ｐ明朝" w:hAnsi="ＭＳ Ｐ明朝" w:eastAsia="ＭＳ Ｐ明朝"/>
          <w:spacing w:val="-4"/>
          <w:sz w:val="6"/>
        </w:rPr>
      </w:pPr>
    </w:p>
    <w:p>
      <w:pPr>
        <w:pStyle w:val="0"/>
        <w:ind w:left="0" w:leftChars="0" w:firstLine="0" w:firstLineChars="0"/>
        <w:rPr>
          <w:rFonts w:hint="eastAsia" w:ascii="ＭＳ Ｐ明朝" w:hAnsi="ＭＳ Ｐ明朝" w:eastAsia="ＭＳ Ｐ明朝"/>
          <w:b w:val="1"/>
          <w:spacing w:val="-4"/>
          <w:sz w:val="26"/>
        </w:rPr>
      </w:pPr>
      <w:r>
        <w:rPr>
          <w:rFonts w:hint="eastAsia" w:ascii="ＭＳ Ｐ明朝" w:hAnsi="ＭＳ Ｐ明朝" w:eastAsia="ＭＳ Ｐ明朝"/>
          <w:b w:val="1"/>
          <w:spacing w:val="-4"/>
          <w:sz w:val="26"/>
        </w:rPr>
        <w:t>【事業内容】</w:t>
      </w:r>
    </w:p>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rPr>
        <mc:AlternateContent>
          <mc:Choice Requires="wps">
            <w:drawing>
              <wp:anchor distT="0" distB="0" distL="114300" distR="114300" simplePos="0" relativeHeight="4" behindDoc="0" locked="0" layoutInCell="1" hidden="0" allowOverlap="1">
                <wp:simplePos x="0" y="0"/>
                <wp:positionH relativeFrom="column">
                  <wp:posOffset>2540</wp:posOffset>
                </wp:positionH>
                <wp:positionV relativeFrom="paragraph">
                  <wp:posOffset>127000</wp:posOffset>
                </wp:positionV>
                <wp:extent cx="6472555" cy="2578735"/>
                <wp:effectExtent l="635" t="635" r="29845" b="10795"/>
                <wp:wrapNone/>
                <wp:docPr id="1027" name="正方形/長方形 8"/>
                <a:graphic xmlns:a="http://schemas.openxmlformats.org/drawingml/2006/main">
                  <a:graphicData uri="http://schemas.microsoft.com/office/word/2010/wordprocessingShape">
                    <wps:wsp>
                      <wps:cNvPr id="1027" name="正方形/長方形 8"/>
                      <wps:cNvSpPr/>
                      <wps:spPr>
                        <a:xfrm rot="-10800000" flipV="1">
                          <a:off x="0" y="0"/>
                          <a:ext cx="6472555" cy="2578735"/>
                        </a:xfrm>
                        <a:prstGeom prst="rect">
                          <a:avLst/>
                        </a:prstGeom>
                        <a:no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0"/>
                              <w:widowControl w:val="1"/>
                              <w:autoSpaceDE w:val="1"/>
                              <w:autoSpaceDN w:val="1"/>
                              <w:spacing w:before="100" w:beforeLines="0" w:beforeAutospacing="1" w:after="100" w:afterLines="0" w:afterAutospacing="1"/>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横芝駅を起点とし、町立東陽病院、商業施設ピアシティ横芝光、横芝光</w:t>
                            </w:r>
                            <w:r>
                              <w:rPr>
                                <w:rFonts w:hint="eastAsia" w:ascii="ＭＳ Ｐ明朝" w:hAnsi="ＭＳ Ｐ明朝" w:eastAsia="ＭＳ Ｐ明朝"/>
                              </w:rPr>
                              <w:t>IC</w:t>
                            </w:r>
                            <w:r>
                              <w:rPr>
                                <w:rFonts w:hint="eastAsia" w:ascii="ＭＳ Ｐ明朝" w:hAnsi="ＭＳ Ｐ明朝" w:eastAsia="ＭＳ Ｐ明朝"/>
                              </w:rPr>
                              <w:t>周辺などの主要施設を結ぶ約</w:t>
                            </w:r>
                            <w:r>
                              <w:rPr>
                                <w:rFonts w:hint="eastAsia" w:ascii="ＭＳ Ｐ明朝" w:hAnsi="ＭＳ Ｐ明朝" w:eastAsia="ＭＳ Ｐ明朝"/>
                              </w:rPr>
                              <w:t>5.5km</w:t>
                            </w:r>
                            <w:r>
                              <w:rPr>
                                <w:rFonts w:hint="eastAsia" w:ascii="ＭＳ Ｐ明朝" w:hAnsi="ＭＳ Ｐ明朝" w:eastAsia="ＭＳ Ｐ明朝"/>
                              </w:rPr>
                              <w:t>のルートにおいて、自動運転</w:t>
                            </w:r>
                            <w:r>
                              <w:rPr>
                                <w:rFonts w:hint="eastAsia" w:ascii="ＭＳ Ｐ明朝" w:hAnsi="ＭＳ Ｐ明朝" w:eastAsia="ＭＳ Ｐ明朝"/>
                              </w:rPr>
                              <w:t>EV</w:t>
                            </w:r>
                            <w:r>
                              <w:rPr>
                                <w:rFonts w:hint="eastAsia" w:ascii="ＭＳ Ｐ明朝" w:hAnsi="ＭＳ Ｐ明朝" w:eastAsia="ＭＳ Ｐ明朝"/>
                              </w:rPr>
                              <w:t>バス（</w:t>
                            </w:r>
                            <w:r>
                              <w:rPr>
                                <w:rFonts w:hint="eastAsia" w:ascii="ＭＳ Ｐ明朝" w:hAnsi="ＭＳ Ｐ明朝" w:eastAsia="ＭＳ Ｐ明朝"/>
                              </w:rPr>
                              <w:t>TIER IV Minibus2.0</w:t>
                            </w:r>
                            <w:r>
                              <w:rPr>
                                <w:rFonts w:hint="eastAsia" w:ascii="ＭＳ Ｐ明朝" w:hAnsi="ＭＳ Ｐ明朝" w:eastAsia="ＭＳ Ｐ明朝"/>
                              </w:rPr>
                              <w:t>）によるレベル</w:t>
                            </w:r>
                            <w:r>
                              <w:rPr>
                                <w:rFonts w:hint="eastAsia" w:ascii="ＭＳ Ｐ明朝" w:hAnsi="ＭＳ Ｐ明朝" w:eastAsia="ＭＳ Ｐ明朝"/>
                              </w:rPr>
                              <w:t>2</w:t>
                            </w:r>
                            <w:r>
                              <w:rPr>
                                <w:rFonts w:hint="eastAsia" w:ascii="ＭＳ Ｐ明朝" w:hAnsi="ＭＳ Ｐ明朝" w:eastAsia="ＭＳ Ｐ明朝"/>
                              </w:rPr>
                              <w:t>の自動運転実証運行を実施した。</w:t>
                            </w:r>
                          </w:p>
                          <w:p>
                            <w:pPr>
                              <w:pStyle w:val="0"/>
                              <w:widowControl w:val="1"/>
                              <w:autoSpaceDE w:val="1"/>
                              <w:autoSpaceDN w:val="1"/>
                              <w:spacing w:before="100" w:beforeLines="0" w:beforeAutospacing="1" w:after="100" w:afterLines="0" w:afterAutospacing="1"/>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運行期間は</w:t>
                            </w:r>
                            <w:r>
                              <w:rPr>
                                <w:rFonts w:hint="eastAsia" w:ascii="ＭＳ Ｐ明朝" w:hAnsi="ＭＳ Ｐ明朝" w:eastAsia="ＭＳ Ｐ明朝"/>
                              </w:rPr>
                              <w:t>2025</w:t>
                            </w:r>
                            <w:r>
                              <w:rPr>
                                <w:rFonts w:hint="eastAsia" w:ascii="ＭＳ Ｐ明朝" w:hAnsi="ＭＳ Ｐ明朝" w:eastAsia="ＭＳ Ｐ明朝"/>
                              </w:rPr>
                              <w:t>年</w:t>
                            </w:r>
                            <w:r>
                              <w:rPr>
                                <w:rFonts w:hint="eastAsia" w:ascii="ＭＳ Ｐ明朝" w:hAnsi="ＭＳ Ｐ明朝" w:eastAsia="ＭＳ Ｐ明朝"/>
                              </w:rPr>
                              <w:t>7</w:t>
                            </w:r>
                            <w:r>
                              <w:rPr>
                                <w:rFonts w:hint="eastAsia" w:ascii="ＭＳ Ｐ明朝" w:hAnsi="ＭＳ Ｐ明朝" w:eastAsia="ＭＳ Ｐ明朝"/>
                              </w:rPr>
                              <w:t>月</w:t>
                            </w:r>
                            <w:r>
                              <w:rPr>
                                <w:rFonts w:hint="eastAsia" w:ascii="ＭＳ Ｐ明朝" w:hAnsi="ＭＳ Ｐ明朝" w:eastAsia="ＭＳ Ｐ明朝"/>
                              </w:rPr>
                              <w:t>1</w:t>
                            </w:r>
                            <w:r>
                              <w:rPr>
                                <w:rFonts w:hint="eastAsia" w:ascii="ＭＳ Ｐ明朝" w:hAnsi="ＭＳ Ｐ明朝" w:eastAsia="ＭＳ Ｐ明朝"/>
                              </w:rPr>
                              <w:t>日から</w:t>
                            </w:r>
                            <w:r>
                              <w:rPr>
                                <w:rFonts w:hint="eastAsia" w:ascii="ＭＳ Ｐ明朝" w:hAnsi="ＭＳ Ｐ明朝" w:eastAsia="ＭＳ Ｐ明朝"/>
                              </w:rPr>
                              <w:t>2026</w:t>
                            </w:r>
                            <w:r>
                              <w:rPr>
                                <w:rFonts w:hint="eastAsia" w:ascii="ＭＳ Ｐ明朝" w:hAnsi="ＭＳ Ｐ明朝" w:eastAsia="ＭＳ Ｐ明朝"/>
                              </w:rPr>
                              <w:t>年</w:t>
                            </w:r>
                            <w:r>
                              <w:rPr>
                                <w:rFonts w:hint="eastAsia" w:ascii="ＭＳ Ｐ明朝" w:hAnsi="ＭＳ Ｐ明朝" w:eastAsia="ＭＳ Ｐ明朝"/>
                              </w:rPr>
                              <w:t>2</w:t>
                            </w:r>
                            <w:r>
                              <w:rPr>
                                <w:rFonts w:hint="eastAsia" w:ascii="ＭＳ Ｐ明朝" w:hAnsi="ＭＳ Ｐ明朝" w:eastAsia="ＭＳ Ｐ明朝"/>
                              </w:rPr>
                              <w:t>月</w:t>
                            </w:r>
                            <w:r>
                              <w:rPr>
                                <w:rFonts w:hint="eastAsia" w:ascii="ＭＳ Ｐ明朝" w:hAnsi="ＭＳ Ｐ明朝" w:eastAsia="ＭＳ Ｐ明朝"/>
                              </w:rPr>
                              <w:t>27</w:t>
                            </w:r>
                            <w:r>
                              <w:rPr>
                                <w:rFonts w:hint="eastAsia" w:ascii="ＭＳ Ｐ明朝" w:hAnsi="ＭＳ Ｐ明朝" w:eastAsia="ＭＳ Ｐ明朝"/>
                              </w:rPr>
                              <w:t>日まで（通年運行）とし、地域住民の日常利用を想定した定時定路線型の運行とした。運行日数：１６１日</w:t>
                            </w:r>
                          </w:p>
                          <w:p>
                            <w:pPr>
                              <w:pStyle w:val="0"/>
                              <w:widowControl w:val="1"/>
                              <w:autoSpaceDE w:val="1"/>
                              <w:autoSpaceDN w:val="1"/>
                              <w:spacing w:before="100" w:beforeLines="0" w:beforeAutospacing="1" w:after="100" w:afterLines="0" w:afterAutospacing="1"/>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本実証では、以下の観点について検証を行った。</w:t>
                            </w:r>
                          </w:p>
                          <w:p>
                            <w:pPr>
                              <w:pStyle w:val="0"/>
                              <w:widowControl w:val="1"/>
                              <w:numPr>
                                <w:ilvl w:val="0"/>
                                <w:numId w:val="6"/>
                              </w:numPr>
                              <w:autoSpaceDE w:val="1"/>
                              <w:autoSpaceDN w:val="1"/>
                              <w:spacing w:before="100" w:beforeLines="0" w:beforeAutospacing="1" w:after="100" w:afterLines="0" w:afterAutospacing="1"/>
                              <w:ind w:leftChars="0" w:firstLineChars="0"/>
                              <w:jc w:val="left"/>
                              <w:rPr>
                                <w:rFonts w:hint="eastAsia" w:ascii="ＭＳ Ｐ明朝" w:hAnsi="ＭＳ Ｐ明朝" w:eastAsia="ＭＳ Ｐ明朝"/>
                              </w:rPr>
                            </w:pPr>
                            <w:r>
                              <w:rPr>
                                <w:rFonts w:hint="eastAsia" w:ascii="ＭＳ Ｐ明朝" w:hAnsi="ＭＳ Ｐ明朝" w:eastAsia="ＭＳ Ｐ明朝"/>
                              </w:rPr>
                              <w:t>市街地環境における自動運転の安全性・</w:t>
                            </w:r>
                            <w:r>
                              <w:rPr>
                                <w:rFonts w:hint="eastAsia" w:ascii="ＭＳ Ｐ明朝" w:hAnsi="ＭＳ Ｐ明朝" w:eastAsia="ＭＳ Ｐ明朝"/>
                              </w:rPr>
                              <w:t>安定性</w:t>
                            </w:r>
                          </w:p>
                          <w:p>
                            <w:pPr>
                              <w:pStyle w:val="0"/>
                              <w:widowControl w:val="1"/>
                              <w:numPr>
                                <w:ilvl w:val="0"/>
                                <w:numId w:val="6"/>
                              </w:numPr>
                              <w:autoSpaceDE w:val="1"/>
                              <w:autoSpaceDN w:val="1"/>
                              <w:spacing w:before="100" w:beforeLines="0" w:beforeAutospacing="1" w:after="100" w:afterLines="0" w:afterAutospacing="1"/>
                              <w:ind w:leftChars="0" w:firstLineChars="0"/>
                              <w:jc w:val="left"/>
                              <w:rPr>
                                <w:rFonts w:hint="eastAsia" w:ascii="ＭＳ Ｐ明朝" w:hAnsi="ＭＳ Ｐ明朝" w:eastAsia="ＭＳ Ｐ明朝"/>
                              </w:rPr>
                            </w:pPr>
                            <w:r>
                              <w:rPr>
                                <w:rFonts w:hint="eastAsia" w:ascii="ＭＳ Ｐ明朝" w:hAnsi="ＭＳ Ｐ明朝" w:eastAsia="ＭＳ Ｐ明朝"/>
                              </w:rPr>
                              <w:t>踏切横断を含む交通環境での自動運転技術の課題</w:t>
                            </w:r>
                          </w:p>
                          <w:p>
                            <w:pPr>
                              <w:pStyle w:val="0"/>
                              <w:widowControl w:val="1"/>
                              <w:numPr>
                                <w:ilvl w:val="0"/>
                                <w:numId w:val="6"/>
                              </w:numPr>
                              <w:autoSpaceDE w:val="1"/>
                              <w:autoSpaceDN w:val="1"/>
                              <w:spacing w:before="100" w:beforeLines="0" w:beforeAutospacing="1" w:after="100" w:afterLines="0" w:afterAutospacing="1"/>
                              <w:ind w:leftChars="0" w:firstLineChars="0"/>
                              <w:jc w:val="left"/>
                              <w:rPr>
                                <w:rFonts w:hint="eastAsia" w:ascii="ＭＳ Ｐ明朝" w:hAnsi="ＭＳ Ｐ明朝" w:eastAsia="ＭＳ Ｐ明朝"/>
                              </w:rPr>
                            </w:pPr>
                            <w:r>
                              <w:rPr>
                                <w:rFonts w:hint="eastAsia" w:ascii="ＭＳ Ｐ明朝" w:hAnsi="ＭＳ Ｐ明朝" w:eastAsia="ＭＳ Ｐ明朝"/>
                              </w:rPr>
                              <w:t>利用者数および公共交通利用促進効果</w:t>
                            </w:r>
                          </w:p>
                          <w:p>
                            <w:pPr>
                              <w:pStyle w:val="0"/>
                              <w:widowControl w:val="1"/>
                              <w:numPr>
                                <w:ilvl w:val="0"/>
                                <w:numId w:val="6"/>
                              </w:numPr>
                              <w:autoSpaceDE w:val="1"/>
                              <w:autoSpaceDN w:val="1"/>
                              <w:spacing w:before="100" w:beforeLines="0" w:beforeAutospacing="1" w:after="100" w:afterLines="0" w:afterAutospacing="1"/>
                              <w:ind w:leftChars="0" w:firstLineChars="0"/>
                              <w:jc w:val="left"/>
                              <w:rPr>
                                <w:rFonts w:hint="eastAsia" w:ascii="ＭＳ Ｐ明朝" w:hAnsi="ＭＳ Ｐ明朝" w:eastAsia="ＭＳ Ｐ明朝"/>
                              </w:rPr>
                            </w:pPr>
                            <w:r>
                              <w:rPr>
                                <w:rFonts w:hint="eastAsia" w:ascii="ＭＳ Ｐ明朝" w:hAnsi="ＭＳ Ｐ明朝" w:eastAsia="ＭＳ Ｐ明朝"/>
                              </w:rPr>
                              <w:t>EV</w:t>
                            </w:r>
                            <w:r>
                              <w:rPr>
                                <w:rFonts w:hint="eastAsia" w:ascii="ＭＳ Ｐ明朝" w:hAnsi="ＭＳ Ｐ明朝" w:eastAsia="ＭＳ Ｐ明朝"/>
                              </w:rPr>
                              <w:t>車両による</w:t>
                            </w:r>
                            <w:r>
                              <w:rPr>
                                <w:rFonts w:hint="eastAsia" w:ascii="ＭＳ Ｐ明朝" w:hAnsi="ＭＳ Ｐ明朝" w:eastAsia="ＭＳ Ｐ明朝"/>
                              </w:rPr>
                              <w:t>CO</w:t>
                            </w:r>
                            <w:r>
                              <w:rPr>
                                <w:rFonts w:hint="eastAsia" w:ascii="ＭＳ Ｐ明朝" w:hAnsi="ＭＳ Ｐ明朝" w:eastAsia="ＭＳ Ｐ明朝"/>
                              </w:rPr>
                              <w:t>₂排出削減効果通年運行による社会受容性の変化</w:t>
                            </w:r>
                          </w:p>
                          <w:p>
                            <w:pPr>
                              <w:pStyle w:val="0"/>
                              <w:widowControl w:val="1"/>
                              <w:numPr>
                                <w:numId w:val="0"/>
                              </w:numPr>
                              <w:autoSpaceDE w:val="1"/>
                              <w:autoSpaceDN w:val="1"/>
                              <w:spacing w:before="100" w:beforeLines="0" w:beforeAutospacing="1" w:after="100" w:afterLines="0" w:afterAutospacing="1"/>
                              <w:ind w:left="720" w:leftChars="0" w:firstLine="0" w:firstLineChars="0"/>
                              <w:jc w:val="left"/>
                              <w:rPr>
                                <w:rFonts w:hint="eastAsia" w:ascii="ＭＳ Ｐ明朝" w:hAnsi="ＭＳ Ｐ明朝" w:eastAsia="ＭＳ Ｐ明朝"/>
                                <w:b w:val="1"/>
                                <w:color w:val="404040" w:themeColor="text1" w:themeTint="C0"/>
                                <w14:glow w14:rad="0">
                                  <w14:srgbClr w14:val="000000"/>
                                </w14:glow>
                                <w14:shadow w14:blurRad="0" w14:dist="0" w14:dir="0" w14:sx="0" w14:sy="0" w14:kx="0" w14:ky="0" w14:algn="none">
                                  <w14:srgbClr w14:val="000000"/>
                                </w14:shadow>
                                <w14:textOutline w14:w="3175" w14:cap="flat" w14:cmpd="sng">
                                  <w14:solidFill>
                                    <w14:schemeClr w14:val="tx1"/>
                                  </w14:solidFill>
                                  <w14:prstDash w14:val="solid"/>
                                  <w14:bevel/>
                                </w14:textOutline>
                                <w14:textFill>
                                  <w14:gradFill>
                                    <w14:gsLst>
                                      <w14:gs w14:pos="43000">
                                        <w14:schemeClr w14:val="tx1">
                                          <w14:lumMod w14:val="75000"/>
                                          <w14:lumOff w14:val="25000"/>
                                        </w14:schemeClr>
                                      </w14:gs>
                                      <w14:gs w14:pos="0">
                                        <w14:schemeClr w14:val="bg1">
                                          <w14:lumMod w14:val="50000"/>
                                        </w14:schemeClr>
                                      </w14:gs>
                                      <w14:gs w14:pos="100000">
                                        <w14:schemeClr w14:val="bg1">
                                          <w14:lumMod w14:val="50000"/>
                                        </w14:schemeClr>
                                      </w14:gs>
                                      <w14:gs w14:pos="57000">
                                        <w14:schemeClr w14:val="bg1">
                                          <w14:lumMod w14:val="85000"/>
                                        </w14:schemeClr>
                                      </w14:gs>
                                    </w14:gsLst>
                                    <w14:lin w14:ang="16200000" w14:scaled="false"/>
                                  </w14:gradFill>
                                </w14:textFill>
                                <w14:props3d w14:extrusionH="0" w14:contourW="0" w14:prstMaterial="none"/>
                              </w:rPr>
                            </w:pPr>
                          </w:p>
                        </w:txbxContent>
                      </wps:txbx>
                      <wps:bodyPr vertOverflow="overflow" horzOverflow="overflow" wrap="square" anchor="ctr"/>
                    </wps:wsp>
                  </a:graphicData>
                </a:graphic>
              </wp:anchor>
            </w:drawing>
          </mc:Choice>
          <mc:Fallback>
            <w:pict>
              <v:rect id="正方形/長方形 8" style="flip:y;mso-wrap-distance-right:9pt;mso-wrap-distance-bottom:0pt;margin-top:10pt;mso-position-vertical-relative:text;mso-position-horizontal-relative:text;v-text-anchor:middle;position:absolute;height:203.05pt;mso-wrap-distance-top:0pt;width:509.65pt;mso-wrap-distance-left:9pt;margin-left:0.2pt;z-index:4;rotation:180;" o:spid="_x0000_s1027" o:allowincell="t" o:allowoverlap="t" filled="f" stroked="t" strokecolor="#000000 [3213]" strokeweight="0.25pt" o:spt="1">
                <v:fill/>
                <v:stroke linestyle="single" endcap="flat" dashstyle="solid" filltype="solid"/>
                <v:textbox style="layout-flow:horizontal;">
                  <w:txbxContent>
                    <w:p>
                      <w:pPr>
                        <w:pStyle w:val="0"/>
                        <w:widowControl w:val="1"/>
                        <w:autoSpaceDE w:val="1"/>
                        <w:autoSpaceDN w:val="1"/>
                        <w:spacing w:before="100" w:beforeLines="0" w:beforeAutospacing="1" w:after="100" w:afterLines="0" w:afterAutospacing="1"/>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横芝駅を起点とし、町立東陽病院、商業施設ピアシティ横芝光、横芝光</w:t>
                      </w:r>
                      <w:r>
                        <w:rPr>
                          <w:rFonts w:hint="eastAsia" w:ascii="ＭＳ Ｐ明朝" w:hAnsi="ＭＳ Ｐ明朝" w:eastAsia="ＭＳ Ｐ明朝"/>
                        </w:rPr>
                        <w:t>IC</w:t>
                      </w:r>
                      <w:r>
                        <w:rPr>
                          <w:rFonts w:hint="eastAsia" w:ascii="ＭＳ Ｐ明朝" w:hAnsi="ＭＳ Ｐ明朝" w:eastAsia="ＭＳ Ｐ明朝"/>
                        </w:rPr>
                        <w:t>周辺などの主要施設を結ぶ約</w:t>
                      </w:r>
                      <w:r>
                        <w:rPr>
                          <w:rFonts w:hint="eastAsia" w:ascii="ＭＳ Ｐ明朝" w:hAnsi="ＭＳ Ｐ明朝" w:eastAsia="ＭＳ Ｐ明朝"/>
                        </w:rPr>
                        <w:t>5.5km</w:t>
                      </w:r>
                      <w:r>
                        <w:rPr>
                          <w:rFonts w:hint="eastAsia" w:ascii="ＭＳ Ｐ明朝" w:hAnsi="ＭＳ Ｐ明朝" w:eastAsia="ＭＳ Ｐ明朝"/>
                        </w:rPr>
                        <w:t>のルートにおいて、自動運転</w:t>
                      </w:r>
                      <w:r>
                        <w:rPr>
                          <w:rFonts w:hint="eastAsia" w:ascii="ＭＳ Ｐ明朝" w:hAnsi="ＭＳ Ｐ明朝" w:eastAsia="ＭＳ Ｐ明朝"/>
                        </w:rPr>
                        <w:t>EV</w:t>
                      </w:r>
                      <w:r>
                        <w:rPr>
                          <w:rFonts w:hint="eastAsia" w:ascii="ＭＳ Ｐ明朝" w:hAnsi="ＭＳ Ｐ明朝" w:eastAsia="ＭＳ Ｐ明朝"/>
                        </w:rPr>
                        <w:t>バス（</w:t>
                      </w:r>
                      <w:r>
                        <w:rPr>
                          <w:rFonts w:hint="eastAsia" w:ascii="ＭＳ Ｐ明朝" w:hAnsi="ＭＳ Ｐ明朝" w:eastAsia="ＭＳ Ｐ明朝"/>
                        </w:rPr>
                        <w:t>TIER IV Minibus2.0</w:t>
                      </w:r>
                      <w:r>
                        <w:rPr>
                          <w:rFonts w:hint="eastAsia" w:ascii="ＭＳ Ｐ明朝" w:hAnsi="ＭＳ Ｐ明朝" w:eastAsia="ＭＳ Ｐ明朝"/>
                        </w:rPr>
                        <w:t>）によるレベル</w:t>
                      </w:r>
                      <w:r>
                        <w:rPr>
                          <w:rFonts w:hint="eastAsia" w:ascii="ＭＳ Ｐ明朝" w:hAnsi="ＭＳ Ｐ明朝" w:eastAsia="ＭＳ Ｐ明朝"/>
                        </w:rPr>
                        <w:t>2</w:t>
                      </w:r>
                      <w:r>
                        <w:rPr>
                          <w:rFonts w:hint="eastAsia" w:ascii="ＭＳ Ｐ明朝" w:hAnsi="ＭＳ Ｐ明朝" w:eastAsia="ＭＳ Ｐ明朝"/>
                        </w:rPr>
                        <w:t>の自動運転実証運行を実施した。</w:t>
                      </w:r>
                    </w:p>
                    <w:p>
                      <w:pPr>
                        <w:pStyle w:val="0"/>
                        <w:widowControl w:val="1"/>
                        <w:autoSpaceDE w:val="1"/>
                        <w:autoSpaceDN w:val="1"/>
                        <w:spacing w:before="100" w:beforeLines="0" w:beforeAutospacing="1" w:after="100" w:afterLines="0" w:afterAutospacing="1"/>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運行期間は</w:t>
                      </w:r>
                      <w:r>
                        <w:rPr>
                          <w:rFonts w:hint="eastAsia" w:ascii="ＭＳ Ｐ明朝" w:hAnsi="ＭＳ Ｐ明朝" w:eastAsia="ＭＳ Ｐ明朝"/>
                        </w:rPr>
                        <w:t>2025</w:t>
                      </w:r>
                      <w:r>
                        <w:rPr>
                          <w:rFonts w:hint="eastAsia" w:ascii="ＭＳ Ｐ明朝" w:hAnsi="ＭＳ Ｐ明朝" w:eastAsia="ＭＳ Ｐ明朝"/>
                        </w:rPr>
                        <w:t>年</w:t>
                      </w:r>
                      <w:r>
                        <w:rPr>
                          <w:rFonts w:hint="eastAsia" w:ascii="ＭＳ Ｐ明朝" w:hAnsi="ＭＳ Ｐ明朝" w:eastAsia="ＭＳ Ｐ明朝"/>
                        </w:rPr>
                        <w:t>7</w:t>
                      </w:r>
                      <w:r>
                        <w:rPr>
                          <w:rFonts w:hint="eastAsia" w:ascii="ＭＳ Ｐ明朝" w:hAnsi="ＭＳ Ｐ明朝" w:eastAsia="ＭＳ Ｐ明朝"/>
                        </w:rPr>
                        <w:t>月</w:t>
                      </w:r>
                      <w:r>
                        <w:rPr>
                          <w:rFonts w:hint="eastAsia" w:ascii="ＭＳ Ｐ明朝" w:hAnsi="ＭＳ Ｐ明朝" w:eastAsia="ＭＳ Ｐ明朝"/>
                        </w:rPr>
                        <w:t>1</w:t>
                      </w:r>
                      <w:r>
                        <w:rPr>
                          <w:rFonts w:hint="eastAsia" w:ascii="ＭＳ Ｐ明朝" w:hAnsi="ＭＳ Ｐ明朝" w:eastAsia="ＭＳ Ｐ明朝"/>
                        </w:rPr>
                        <w:t>日から</w:t>
                      </w:r>
                      <w:r>
                        <w:rPr>
                          <w:rFonts w:hint="eastAsia" w:ascii="ＭＳ Ｐ明朝" w:hAnsi="ＭＳ Ｐ明朝" w:eastAsia="ＭＳ Ｐ明朝"/>
                        </w:rPr>
                        <w:t>2026</w:t>
                      </w:r>
                      <w:r>
                        <w:rPr>
                          <w:rFonts w:hint="eastAsia" w:ascii="ＭＳ Ｐ明朝" w:hAnsi="ＭＳ Ｐ明朝" w:eastAsia="ＭＳ Ｐ明朝"/>
                        </w:rPr>
                        <w:t>年</w:t>
                      </w:r>
                      <w:r>
                        <w:rPr>
                          <w:rFonts w:hint="eastAsia" w:ascii="ＭＳ Ｐ明朝" w:hAnsi="ＭＳ Ｐ明朝" w:eastAsia="ＭＳ Ｐ明朝"/>
                        </w:rPr>
                        <w:t>2</w:t>
                      </w:r>
                      <w:r>
                        <w:rPr>
                          <w:rFonts w:hint="eastAsia" w:ascii="ＭＳ Ｐ明朝" w:hAnsi="ＭＳ Ｐ明朝" w:eastAsia="ＭＳ Ｐ明朝"/>
                        </w:rPr>
                        <w:t>月</w:t>
                      </w:r>
                      <w:r>
                        <w:rPr>
                          <w:rFonts w:hint="eastAsia" w:ascii="ＭＳ Ｐ明朝" w:hAnsi="ＭＳ Ｐ明朝" w:eastAsia="ＭＳ Ｐ明朝"/>
                        </w:rPr>
                        <w:t>27</w:t>
                      </w:r>
                      <w:r>
                        <w:rPr>
                          <w:rFonts w:hint="eastAsia" w:ascii="ＭＳ Ｐ明朝" w:hAnsi="ＭＳ Ｐ明朝" w:eastAsia="ＭＳ Ｐ明朝"/>
                        </w:rPr>
                        <w:t>日まで（通年運行）とし、地域住民の日常利用を想定した定時定路線型の運行とした。運行日数：１６１日</w:t>
                      </w:r>
                    </w:p>
                    <w:p>
                      <w:pPr>
                        <w:pStyle w:val="0"/>
                        <w:widowControl w:val="1"/>
                        <w:autoSpaceDE w:val="1"/>
                        <w:autoSpaceDN w:val="1"/>
                        <w:spacing w:before="100" w:beforeLines="0" w:beforeAutospacing="1" w:after="100" w:afterLines="0" w:afterAutospacing="1"/>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本実証では、以下の観点について検証を行った。</w:t>
                      </w:r>
                    </w:p>
                    <w:p>
                      <w:pPr>
                        <w:pStyle w:val="0"/>
                        <w:widowControl w:val="1"/>
                        <w:numPr>
                          <w:ilvl w:val="0"/>
                          <w:numId w:val="6"/>
                        </w:numPr>
                        <w:autoSpaceDE w:val="1"/>
                        <w:autoSpaceDN w:val="1"/>
                        <w:spacing w:before="100" w:beforeLines="0" w:beforeAutospacing="1" w:after="100" w:afterLines="0" w:afterAutospacing="1"/>
                        <w:ind w:leftChars="0" w:firstLineChars="0"/>
                        <w:jc w:val="left"/>
                        <w:rPr>
                          <w:rFonts w:hint="eastAsia" w:ascii="ＭＳ Ｐ明朝" w:hAnsi="ＭＳ Ｐ明朝" w:eastAsia="ＭＳ Ｐ明朝"/>
                        </w:rPr>
                      </w:pPr>
                      <w:r>
                        <w:rPr>
                          <w:rFonts w:hint="eastAsia" w:ascii="ＭＳ Ｐ明朝" w:hAnsi="ＭＳ Ｐ明朝" w:eastAsia="ＭＳ Ｐ明朝"/>
                        </w:rPr>
                        <w:t>市街地環境における自動運転の安全性・</w:t>
                      </w:r>
                      <w:r>
                        <w:rPr>
                          <w:rFonts w:hint="eastAsia" w:ascii="ＭＳ Ｐ明朝" w:hAnsi="ＭＳ Ｐ明朝" w:eastAsia="ＭＳ Ｐ明朝"/>
                        </w:rPr>
                        <w:t>安定性</w:t>
                      </w:r>
                    </w:p>
                    <w:p>
                      <w:pPr>
                        <w:pStyle w:val="0"/>
                        <w:widowControl w:val="1"/>
                        <w:numPr>
                          <w:ilvl w:val="0"/>
                          <w:numId w:val="6"/>
                        </w:numPr>
                        <w:autoSpaceDE w:val="1"/>
                        <w:autoSpaceDN w:val="1"/>
                        <w:spacing w:before="100" w:beforeLines="0" w:beforeAutospacing="1" w:after="100" w:afterLines="0" w:afterAutospacing="1"/>
                        <w:ind w:leftChars="0" w:firstLineChars="0"/>
                        <w:jc w:val="left"/>
                        <w:rPr>
                          <w:rFonts w:hint="eastAsia" w:ascii="ＭＳ Ｐ明朝" w:hAnsi="ＭＳ Ｐ明朝" w:eastAsia="ＭＳ Ｐ明朝"/>
                        </w:rPr>
                      </w:pPr>
                      <w:r>
                        <w:rPr>
                          <w:rFonts w:hint="eastAsia" w:ascii="ＭＳ Ｐ明朝" w:hAnsi="ＭＳ Ｐ明朝" w:eastAsia="ＭＳ Ｐ明朝"/>
                        </w:rPr>
                        <w:t>踏切横断を含む交通環境での自動運転技術の課題</w:t>
                      </w:r>
                    </w:p>
                    <w:p>
                      <w:pPr>
                        <w:pStyle w:val="0"/>
                        <w:widowControl w:val="1"/>
                        <w:numPr>
                          <w:ilvl w:val="0"/>
                          <w:numId w:val="6"/>
                        </w:numPr>
                        <w:autoSpaceDE w:val="1"/>
                        <w:autoSpaceDN w:val="1"/>
                        <w:spacing w:before="100" w:beforeLines="0" w:beforeAutospacing="1" w:after="100" w:afterLines="0" w:afterAutospacing="1"/>
                        <w:ind w:leftChars="0" w:firstLineChars="0"/>
                        <w:jc w:val="left"/>
                        <w:rPr>
                          <w:rFonts w:hint="eastAsia" w:ascii="ＭＳ Ｐ明朝" w:hAnsi="ＭＳ Ｐ明朝" w:eastAsia="ＭＳ Ｐ明朝"/>
                        </w:rPr>
                      </w:pPr>
                      <w:r>
                        <w:rPr>
                          <w:rFonts w:hint="eastAsia" w:ascii="ＭＳ Ｐ明朝" w:hAnsi="ＭＳ Ｐ明朝" w:eastAsia="ＭＳ Ｐ明朝"/>
                        </w:rPr>
                        <w:t>利用者数および公共交通利用促進効果</w:t>
                      </w:r>
                    </w:p>
                    <w:p>
                      <w:pPr>
                        <w:pStyle w:val="0"/>
                        <w:widowControl w:val="1"/>
                        <w:numPr>
                          <w:ilvl w:val="0"/>
                          <w:numId w:val="6"/>
                        </w:numPr>
                        <w:autoSpaceDE w:val="1"/>
                        <w:autoSpaceDN w:val="1"/>
                        <w:spacing w:before="100" w:beforeLines="0" w:beforeAutospacing="1" w:after="100" w:afterLines="0" w:afterAutospacing="1"/>
                        <w:ind w:leftChars="0" w:firstLineChars="0"/>
                        <w:jc w:val="left"/>
                        <w:rPr>
                          <w:rFonts w:hint="eastAsia" w:ascii="ＭＳ Ｐ明朝" w:hAnsi="ＭＳ Ｐ明朝" w:eastAsia="ＭＳ Ｐ明朝"/>
                        </w:rPr>
                      </w:pPr>
                      <w:r>
                        <w:rPr>
                          <w:rFonts w:hint="eastAsia" w:ascii="ＭＳ Ｐ明朝" w:hAnsi="ＭＳ Ｐ明朝" w:eastAsia="ＭＳ Ｐ明朝"/>
                        </w:rPr>
                        <w:t>EV</w:t>
                      </w:r>
                      <w:r>
                        <w:rPr>
                          <w:rFonts w:hint="eastAsia" w:ascii="ＭＳ Ｐ明朝" w:hAnsi="ＭＳ Ｐ明朝" w:eastAsia="ＭＳ Ｐ明朝"/>
                        </w:rPr>
                        <w:t>車両による</w:t>
                      </w:r>
                      <w:r>
                        <w:rPr>
                          <w:rFonts w:hint="eastAsia" w:ascii="ＭＳ Ｐ明朝" w:hAnsi="ＭＳ Ｐ明朝" w:eastAsia="ＭＳ Ｐ明朝"/>
                        </w:rPr>
                        <w:t>CO</w:t>
                      </w:r>
                      <w:r>
                        <w:rPr>
                          <w:rFonts w:hint="eastAsia" w:ascii="ＭＳ Ｐ明朝" w:hAnsi="ＭＳ Ｐ明朝" w:eastAsia="ＭＳ Ｐ明朝"/>
                        </w:rPr>
                        <w:t>₂排出削減効果通年運行による社会受容性の変化</w:t>
                      </w:r>
                    </w:p>
                    <w:p>
                      <w:pPr>
                        <w:pStyle w:val="0"/>
                        <w:widowControl w:val="1"/>
                        <w:numPr>
                          <w:numId w:val="0"/>
                        </w:numPr>
                        <w:autoSpaceDE w:val="1"/>
                        <w:autoSpaceDN w:val="1"/>
                        <w:spacing w:before="100" w:beforeLines="0" w:beforeAutospacing="1" w:after="100" w:afterLines="0" w:afterAutospacing="1"/>
                        <w:ind w:left="720" w:leftChars="0" w:firstLine="0" w:firstLineChars="0"/>
                        <w:jc w:val="left"/>
                        <w:rPr>
                          <w:rFonts w:hint="eastAsia" w:ascii="ＭＳ Ｐ明朝" w:hAnsi="ＭＳ Ｐ明朝" w:eastAsia="ＭＳ Ｐ明朝"/>
                          <w:b w:val="1"/>
                          <w:color w:val="404040" w:themeColor="text1" w:themeTint="C0"/>
                          <w14:glow w14:rad="0">
                            <w14:srgbClr w14:val="000000"/>
                          </w14:glow>
                          <w14:shadow w14:blurRad="0" w14:dist="0" w14:dir="0" w14:sx="0" w14:sy="0" w14:kx="0" w14:ky="0" w14:algn="none">
                            <w14:srgbClr w14:val="000000"/>
                          </w14:shadow>
                          <w14:textOutline w14:w="3175" w14:cap="flat" w14:cmpd="sng">
                            <w14:solidFill>
                              <w14:schemeClr w14:val="tx1"/>
                            </w14:solidFill>
                            <w14:prstDash w14:val="solid"/>
                            <w14:bevel/>
                          </w14:textOutline>
                          <w14:textFill>
                            <w14:gradFill>
                              <w14:gsLst>
                                <w14:gs w14:pos="43000">
                                  <w14:schemeClr w14:val="tx1">
                                    <w14:lumMod w14:val="75000"/>
                                    <w14:lumOff w14:val="25000"/>
                                  </w14:schemeClr>
                                </w14:gs>
                                <w14:gs w14:pos="0">
                                  <w14:schemeClr w14:val="bg1">
                                    <w14:lumMod w14:val="50000"/>
                                  </w14:schemeClr>
                                </w14:gs>
                                <w14:gs w14:pos="100000">
                                  <w14:schemeClr w14:val="bg1">
                                    <w14:lumMod w14:val="50000"/>
                                  </w14:schemeClr>
                                </w14:gs>
                                <w14:gs w14:pos="57000">
                                  <w14:schemeClr w14:val="bg1">
                                    <w14:lumMod w14:val="85000"/>
                                  </w14:schemeClr>
                                </w14:gs>
                              </w14:gsLst>
                              <w14:lin w14:ang="16200000" w14:scaled="false"/>
                            </w14:gradFill>
                          </w14:textFill>
                          <w14:props3d w14:extrusionH="0" w14:contourW="0" w14:prstMaterial="none"/>
                        </w:rPr>
                      </w:pPr>
                    </w:p>
                  </w:txbxContent>
                </v:textbox>
                <v:imagedata o:title=""/>
                <w10:wrap type="none" anchorx="text" anchory="text"/>
              </v:rect>
            </w:pict>
          </mc:Fallback>
        </mc:AlternateContent>
      </w:r>
    </w:p>
    <w:p>
      <w:pPr>
        <w:pStyle w:val="0"/>
        <w:ind w:left="0" w:leftChars="0" w:firstLine="0" w:firstLineChars="0"/>
        <w:rPr>
          <w:rFonts w:hint="eastAsia" w:ascii="ＭＳ Ｐ明朝" w:hAnsi="ＭＳ Ｐ明朝" w:eastAsia="ＭＳ Ｐ明朝"/>
          <w:b w:val="1"/>
          <w:spacing w:val="-4"/>
          <w:sz w:val="6"/>
        </w:rPr>
      </w:pPr>
    </w:p>
    <w:p>
      <w:pPr>
        <w:pStyle w:val="0"/>
        <w:ind w:left="0" w:leftChars="0" w:firstLine="0" w:firstLineChars="0"/>
        <w:rPr>
          <w:rFonts w:hint="default"/>
          <w:spacing w:val="-4"/>
        </w:rPr>
        <w:sectPr>
          <w:footerReference r:id="rId6" w:type="default"/>
          <w:type w:val="continuous"/>
          <w:pgSz w:w="11910" w:h="16840"/>
          <w:pgMar w:top="851" w:right="851" w:bottom="567" w:left="851" w:header="720" w:footer="720" w:gutter="0"/>
          <w:cols w:space="720"/>
          <w:textDirection w:val="lrTb"/>
          <w:docGrid w:linePitch="299"/>
        </w:sectPr>
      </w:pPr>
      <w:r>
        <w:rPr>
          <w:rFonts w:hint="default"/>
          <w:spacing w:val="-4"/>
        </w:rPr>
        <mc:AlternateContent>
          <mc:Choice Requires="wps">
            <w:drawing>
              <wp:anchor distT="45720" distB="45720" distL="114300" distR="114300" simplePos="0" relativeHeight="3" behindDoc="0" locked="0" layoutInCell="1" hidden="0" allowOverlap="1">
                <wp:simplePos x="0" y="0"/>
                <wp:positionH relativeFrom="column">
                  <wp:posOffset>56515</wp:posOffset>
                </wp:positionH>
                <wp:positionV relativeFrom="paragraph">
                  <wp:posOffset>283210</wp:posOffset>
                </wp:positionV>
                <wp:extent cx="6386195" cy="6309995"/>
                <wp:effectExtent l="635" t="635" r="29845" b="10795"/>
                <wp:wrapSquare wrapText="bothSides"/>
                <wp:docPr id="1028" name="テキスト ボックス 4"/>
                <a:graphic xmlns:a="http://schemas.openxmlformats.org/drawingml/2006/main">
                  <a:graphicData uri="http://schemas.microsoft.com/office/word/2010/wordprocessingShape">
                    <wps:wsp>
                      <wps:cNvPr id="1028" name="テキスト ボックス 4"/>
                      <wps:cNvSpPr txBox="1">
                        <a:spLocks noChangeArrowheads="1"/>
                      </wps:cNvSpPr>
                      <wps:spPr>
                        <a:xfrm>
                          <a:off x="0" y="0"/>
                          <a:ext cx="6386195" cy="6309995"/>
                        </a:xfrm>
                        <a:prstGeom prst="rect">
                          <a:avLst/>
                        </a:prstGeom>
                        <a:solidFill>
                          <a:srgbClr val="FFFFFF"/>
                        </a:solidFill>
                        <a:ln w="9525">
                          <a:solidFill>
                            <a:srgbClr val="000000"/>
                          </a:solidFill>
                          <a:miter lim="800000"/>
                          <a:headEnd/>
                          <a:tailEnd/>
                        </a:ln>
                      </wps:spPr>
                      <wps:txbx>
                        <w:txbxContent>
                          <w:p>
                            <w:pPr>
                              <w:pStyle w:val="0"/>
                              <w:ind w:left="0" w:leftChars="0" w:firstLine="0" w:firstLineChars="0"/>
                              <w:rPr>
                                <w:rFonts w:hint="default"/>
                              </w:rPr>
                            </w:pPr>
                          </w:p>
                          <w:tbl>
                            <w:tblPr>
                              <w:tblStyle w:val="62"/>
                              <w:tblW w:w="9760" w:type="dxa"/>
                              <w:tblInd w:w="0" w:type="dxa"/>
                              <w:tblLayout w:type="fixed"/>
                              <w:tblCellMar>
                                <w:top w:w="73" w:type="dxa"/>
                                <w:left w:w="107" w:type="dxa"/>
                                <w:right w:w="115" w:type="dxa"/>
                              </w:tblCellMar>
                              <w:tblLook w:firstRow="1" w:lastRow="0" w:firstColumn="1" w:lastColumn="0" w:noHBand="0" w:noVBand="1" w:val="04A0"/>
                            </w:tblPr>
                            <w:tblGrid>
                              <w:gridCol w:w="704"/>
                              <w:gridCol w:w="3260"/>
                              <w:gridCol w:w="5796"/>
                            </w:tblGrid>
                            <w:tr>
                              <w:trPr>
                                <w:trHeight w:val="368" w:hRule="atLeast"/>
                              </w:trPr>
                              <w:tc>
                                <w:tcPr>
                                  <w:tcW w:w="70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項目</w:t>
                                  </w:r>
                                </w:p>
                              </w:tc>
                              <w:tc>
                                <w:tcPr>
                                  <w:tcW w:w="32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検証項目</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検証方法</w:t>
                                  </w:r>
                                </w:p>
                              </w:tc>
                            </w:tr>
                            <w:tr>
                              <w:trPr>
                                <w:cantSplit/>
                                <w:trHeight w:val="794" w:hRule="atLeast"/>
                              </w:trPr>
                              <w:tc>
                                <w:tcPr>
                                  <w:tcW w:w="704" w:type="dxa"/>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経営面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自動運転バス利用者数の増加</w:t>
                                  </w:r>
                                </w:p>
                              </w:tc>
                              <w:tc>
                                <w:tcPr>
                                  <w:tcW w:w="5796"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w:t>
                                  </w:r>
                                  <w:r>
                                    <w:rPr>
                                      <w:rFonts w:hint="default"/>
                                    </w:rPr>
                                    <w:t>利用者数および運行データの分析</w:t>
                                  </w:r>
                                </w:p>
                                <w:p>
                                  <w:pPr>
                                    <w:pStyle w:val="0"/>
                                    <w:spacing w:line="259" w:lineRule="auto"/>
                                    <w:ind w:left="0" w:leftChars="0" w:firstLine="0" w:firstLineChars="0"/>
                                    <w:rPr>
                                      <w:rFonts w:hint="default"/>
                                    </w:rPr>
                                  </w:pPr>
                                  <w:r>
                                    <w:rPr>
                                      <w:rFonts w:hint="eastAsia"/>
                                    </w:rPr>
                                    <w:t>・</w:t>
                                  </w:r>
                                  <w:r>
                                    <w:rPr>
                                      <w:rFonts w:hint="default"/>
                                    </w:rPr>
                                    <w:t>乗車アンケートによる利用目的および消費行動の調査</w:t>
                                  </w:r>
                                </w:p>
                                <w:p>
                                  <w:pPr>
                                    <w:pStyle w:val="0"/>
                                    <w:spacing w:line="259" w:lineRule="auto"/>
                                    <w:ind w:left="0" w:leftChars="0" w:firstLine="0" w:firstLineChars="0"/>
                                    <w:rPr>
                                      <w:rFonts w:hint="eastAsia"/>
                                    </w:rPr>
                                  </w:pPr>
                                  <w:r>
                                    <w:rPr>
                                      <w:rFonts w:hint="eastAsia"/>
                                    </w:rPr>
                                    <w:t>・</w:t>
                                  </w:r>
                                  <w:r>
                                    <w:rPr>
                                      <w:rFonts w:hint="default"/>
                                    </w:rPr>
                                    <w:t>EV</w:t>
                                  </w:r>
                                  <w:r>
                                    <w:rPr>
                                      <w:rFonts w:hint="default"/>
                                    </w:rPr>
                                    <w:t>車両と既存ディーゼルバスの</w:t>
                                  </w:r>
                                  <w:r>
                                    <w:rPr>
                                      <w:rFonts w:hint="default"/>
                                    </w:rPr>
                                    <w:t>CO₂</w:t>
                                  </w:r>
                                  <w:r>
                                    <w:rPr>
                                      <w:rFonts w:hint="default"/>
                                    </w:rPr>
                                    <w:t>排出量比較</w:t>
                                  </w: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公共交通利用促進による地域経済効果</w:t>
                                  </w:r>
                                </w:p>
                              </w:tc>
                              <w:tc>
                                <w:tcPr>
                                  <w:tcW w:w="5796" w:type="dxa"/>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EV</w:t>
                                  </w:r>
                                  <w:r>
                                    <w:rPr>
                                      <w:rFonts w:hint="default"/>
                                    </w:rPr>
                                    <w:t>車両導入による</w:t>
                                  </w:r>
                                  <w:r>
                                    <w:rPr>
                                      <w:rFonts w:hint="default"/>
                                    </w:rPr>
                                    <w:t>CO₂</w:t>
                                  </w:r>
                                  <w:r>
                                    <w:rPr>
                                      <w:rFonts w:hint="default"/>
                                    </w:rPr>
                                    <w:t>排出削減</w:t>
                                  </w:r>
                                </w:p>
                              </w:tc>
                              <w:tc>
                                <w:tcPr>
                                  <w:tcW w:w="5796" w:type="dxa"/>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p>
                              </w:tc>
                            </w:tr>
                            <w:tr>
                              <w:trPr>
                                <w:cantSplit/>
                                <w:trHeight w:val="794" w:hRule="atLeast"/>
                              </w:trPr>
                              <w:tc>
                                <w:tcPr>
                                  <w:tcW w:w="704" w:type="dxa"/>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技術面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市街地環境における自動運転率</w:t>
                                  </w:r>
                                </w:p>
                              </w:tc>
                              <w:tc>
                                <w:tcPr>
                                  <w:tcW w:w="5796"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w:t>
                                  </w:r>
                                  <w:r>
                                    <w:rPr>
                                      <w:rFonts w:hint="default"/>
                                    </w:rPr>
                                    <w:t>自動運転ログデータの分析</w:t>
                                  </w:r>
                                </w:p>
                                <w:p>
                                  <w:pPr>
                                    <w:pStyle w:val="0"/>
                                    <w:spacing w:line="259" w:lineRule="auto"/>
                                    <w:ind w:left="0" w:leftChars="0" w:firstLine="0" w:firstLineChars="0"/>
                                    <w:rPr>
                                      <w:rFonts w:hint="eastAsia"/>
                                    </w:rPr>
                                  </w:pPr>
                                  <w:r>
                                    <w:rPr>
                                      <w:rFonts w:hint="eastAsia"/>
                                    </w:rPr>
                                    <w:t>・</w:t>
                                  </w:r>
                                  <w:r>
                                    <w:rPr>
                                      <w:rFonts w:hint="default"/>
                                    </w:rPr>
                                    <w:t>オペレーター聞き取りによる踏切通過成功率の調査</w:t>
                                  </w:r>
                                </w:p>
                                <w:p>
                                  <w:pPr>
                                    <w:pStyle w:val="0"/>
                                    <w:spacing w:line="259" w:lineRule="auto"/>
                                    <w:ind w:left="0" w:leftChars="0" w:firstLine="0" w:firstLineChars="0"/>
                                    <w:rPr>
                                      <w:rFonts w:hint="default"/>
                                    </w:rPr>
                                  </w:pPr>
                                  <w:r>
                                    <w:rPr>
                                      <w:rFonts w:hint="eastAsia"/>
                                    </w:rPr>
                                    <w:t>・バッテリー消費量の計測</w:t>
                                  </w: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踏切横断時の自動運転成功率</w:t>
                                  </w:r>
                                </w:p>
                              </w:tc>
                              <w:tc>
                                <w:tcPr>
                                  <w:tcW w:w="5796" w:type="dxa"/>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firstLine="210"/>
                                    <w:rPr>
                                      <w:rFonts w:hint="default"/>
                                    </w:rPr>
                                  </w:pP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手動介入発生箇所および要因分析</w:t>
                                  </w:r>
                                </w:p>
                              </w:tc>
                              <w:tc>
                                <w:tcPr>
                                  <w:tcW w:w="5796" w:type="dxa"/>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firstLine="210"/>
                                    <w:rPr>
                                      <w:rFonts w:hint="default"/>
                                    </w:rPr>
                                  </w:pPr>
                                </w:p>
                              </w:tc>
                            </w:tr>
                            <w:tr>
                              <w:trPr>
                                <w:cantSplit/>
                                <w:trHeight w:val="794" w:hRule="atLeast"/>
                              </w:trPr>
                              <w:tc>
                                <w:tcPr>
                                  <w:tcW w:w="704"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EV</w:t>
                                  </w:r>
                                  <w:r>
                                    <w:rPr>
                                      <w:rFonts w:hint="eastAsia"/>
                                    </w:rPr>
                                    <w:t>車両の運行効率</w:t>
                                  </w:r>
                                </w:p>
                              </w:tc>
                              <w:tc>
                                <w:tcPr>
                                  <w:tcW w:w="5796" w:type="dxa"/>
                                  <w:vMerge w:val="continue"/>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p>
                              </w:tc>
                            </w:tr>
                            <w:tr>
                              <w:trPr>
                                <w:cantSplit/>
                                <w:trHeight w:val="794" w:hRule="atLeast"/>
                              </w:trPr>
                              <w:tc>
                                <w:tcPr>
                                  <w:tcW w:w="704" w:type="dxa"/>
                                  <w:vMerge w:val="restart"/>
                                  <w:tcBorders>
                                    <w:top w:val="single" w:color="auto" w:sz="4" w:space="0"/>
                                    <w:left w:val="single" w:color="auto" w:sz="4" w:space="0"/>
                                    <w:bottom w:val="single" w:color="000000" w:sz="4" w:space="0"/>
                                    <w:right w:val="single" w:color="auto" w:sz="4" w:space="0"/>
                                    <w:tl2br w:val="nil"/>
                                    <w:tr2bl w:val="nil"/>
                                  </w:tcBorders>
                                  <w:textDirection w:val="tbRlV"/>
                                  <w:vAlign w:val="center"/>
                                </w:tcPr>
                                <w:p>
                                  <w:pPr>
                                    <w:pStyle w:val="0"/>
                                    <w:spacing w:line="259" w:lineRule="auto"/>
                                    <w:ind w:left="113" w:leftChars="0" w:right="113" w:firstLine="0" w:firstLineChars="0"/>
                                    <w:jc w:val="center"/>
                                    <w:rPr>
                                      <w:rFonts w:hint="default"/>
                                    </w:rPr>
                                  </w:pPr>
                                  <w:r>
                                    <w:rPr>
                                      <w:rFonts w:hint="eastAsia"/>
                                    </w:rPr>
                                    <w:t>社会受容性面</w:t>
                                  </w:r>
                                </w:p>
                              </w:tc>
                              <w:tc>
                                <w:tcPr>
                                  <w:tcW w:w="3260" w:type="dxa"/>
                                  <w:tcBorders>
                                    <w:top w:val="single" w:color="000000" w:sz="4" w:space="0"/>
                                    <w:left w:val="single" w:color="auto" w:sz="4" w:space="0"/>
                                    <w:bottom w:val="single" w:color="000000" w:sz="4" w:space="0"/>
                                    <w:right w:val="single" w:color="000000" w:sz="4" w:space="0"/>
                                    <w:tl2br w:val="nil"/>
                                    <w:tr2bl w:val="nil"/>
                                  </w:tcBorders>
                                  <w:vAlign w:val="top"/>
                                </w:tcPr>
                                <w:p>
                                  <w:pPr>
                                    <w:pStyle w:val="0"/>
                                    <w:spacing w:line="259" w:lineRule="auto"/>
                                    <w:ind w:left="0" w:leftChars="0" w:firstLine="0" w:firstLineChars="0"/>
                                    <w:rPr>
                                      <w:rFonts w:hint="default"/>
                                    </w:rPr>
                                  </w:pPr>
                                  <w:r>
                                    <w:rPr>
                                      <w:rFonts w:hint="default"/>
                                    </w:rPr>
                                    <w:t>自動運転バスの安全性評価</w:t>
                                  </w:r>
                                </w:p>
                              </w:tc>
                              <w:tc>
                                <w:tcPr>
                                  <w:tcW w:w="5796" w:type="dxa"/>
                                  <w:vMerge w:val="restart"/>
                                  <w:tcBorders>
                                    <w:top w:val="single" w:color="000000" w:sz="4" w:space="0"/>
                                    <w:left w:val="single" w:color="000000" w:sz="4" w:space="0"/>
                                    <w:bottom w:val="single" w:color="000000" w:sz="4" w:space="0"/>
                                    <w:right w:val="single" w:color="000000" w:sz="4" w:space="0"/>
                                    <w:tl2br w:val="nil"/>
                                    <w:tr2bl w:val="nil"/>
                                  </w:tcBorders>
                                  <w:vAlign w:val="top"/>
                                </w:tcPr>
                                <w:p>
                                  <w:pPr>
                                    <w:pStyle w:val="0"/>
                                    <w:spacing w:line="259" w:lineRule="auto"/>
                                    <w:ind w:left="0" w:leftChars="0" w:firstLine="0" w:firstLineChars="0"/>
                                    <w:rPr>
                                      <w:rFonts w:hint="default"/>
                                    </w:rPr>
                                  </w:pPr>
                                  <w:r>
                                    <w:rPr>
                                      <w:rFonts w:hint="eastAsia"/>
                                    </w:rPr>
                                    <w:t>・利用者アンケート</w:t>
                                  </w:r>
                                </w:p>
                                <w:p>
                                  <w:pPr>
                                    <w:pStyle w:val="0"/>
                                    <w:spacing w:line="259" w:lineRule="auto"/>
                                    <w:ind w:left="0" w:leftChars="0" w:firstLine="0" w:firstLineChars="0"/>
                                    <w:rPr>
                                      <w:rFonts w:hint="default"/>
                                    </w:rPr>
                                  </w:pPr>
                                  <w:r>
                                    <w:rPr>
                                      <w:rFonts w:hint="eastAsia"/>
                                    </w:rPr>
                                    <w:t>・</w:t>
                                  </w:r>
                                  <w:r>
                                    <w:rPr>
                                      <w:rFonts w:hint="default"/>
                                    </w:rPr>
                                    <w:t>ヒヤリハット事例の分析</w:t>
                                  </w:r>
                                </w:p>
                                <w:p>
                                  <w:pPr>
                                    <w:pStyle w:val="0"/>
                                    <w:spacing w:line="259" w:lineRule="auto"/>
                                    <w:ind w:left="0" w:leftChars="0" w:firstLine="0" w:firstLineChars="0"/>
                                    <w:rPr>
                                      <w:rFonts w:hint="default"/>
                                    </w:rPr>
                                  </w:pPr>
                                  <w:r>
                                    <w:rPr>
                                      <w:rFonts w:hint="eastAsia"/>
                                    </w:rPr>
                                    <w:t>・</w:t>
                                  </w:r>
                                  <w:r>
                                    <w:rPr>
                                      <w:rFonts w:hint="default"/>
                                    </w:rPr>
                                    <w:t>出張授業による意識調査</w:t>
                                  </w:r>
                                </w:p>
                              </w:tc>
                            </w:tr>
                            <w:tr>
                              <w:trPr>
                                <w:cantSplit/>
                                <w:trHeight w:val="794" w:hRule="atLeast"/>
                              </w:trPr>
                              <w:tc>
                                <w:tcPr>
                                  <w:tcW w:w="704" w:type="dxa"/>
                                  <w:vMerge w:val="continue"/>
                                  <w:tcBorders>
                                    <w:top w:val="single" w:color="000000" w:sz="4" w:space="0"/>
                                    <w:left w:val="single" w:color="auto" w:sz="4" w:space="0"/>
                                    <w:bottom w:val="single" w:color="000000" w:sz="4" w:space="0"/>
                                    <w:right w:val="single" w:color="auto" w:sz="4" w:space="0"/>
                                    <w:tl2br w:val="nil"/>
                                    <w:tr2bl w:val="nil"/>
                                  </w:tcBorders>
                                  <w:vAlign w:val="top"/>
                                </w:tcPr>
                                <w:p>
                                  <w:pPr>
                                    <w:pStyle w:val="0"/>
                                    <w:spacing w:line="259" w:lineRule="auto"/>
                                    <w:ind w:left="0" w:leftChars="0" w:firstLine="0" w:firstLineChars="0"/>
                                    <w:rPr>
                                      <w:rFonts w:hint="default"/>
                                    </w:rPr>
                                  </w:pPr>
                                </w:p>
                              </w:tc>
                              <w:tc>
                                <w:tcPr>
                                  <w:tcW w:w="3260" w:type="dxa"/>
                                  <w:tcBorders>
                                    <w:top w:val="single" w:color="000000" w:sz="4" w:space="0"/>
                                    <w:left w:val="single" w:color="auto" w:sz="4" w:space="0"/>
                                    <w:bottom w:val="single" w:color="000000" w:sz="4" w:space="0"/>
                                    <w:right w:val="single" w:color="000000" w:sz="4" w:space="0"/>
                                    <w:tl2br w:val="nil"/>
                                    <w:tr2bl w:val="nil"/>
                                  </w:tcBorders>
                                  <w:vAlign w:val="top"/>
                                </w:tcPr>
                                <w:p>
                                  <w:pPr>
                                    <w:pStyle w:val="0"/>
                                    <w:spacing w:line="259" w:lineRule="auto"/>
                                    <w:ind w:left="0" w:leftChars="0" w:firstLine="0" w:firstLineChars="0"/>
                                    <w:rPr>
                                      <w:rFonts w:hint="default"/>
                                    </w:rPr>
                                  </w:pPr>
                                  <w:r>
                                    <w:rPr>
                                      <w:rFonts w:hint="default"/>
                                    </w:rPr>
                                    <w:t>通年運行による地域住民の認知・受容性</w:t>
                                  </w:r>
                                </w:p>
                              </w:tc>
                              <w:tc>
                                <w:tcPr>
                                  <w:tcW w:w="5796" w:type="dxa"/>
                                  <w:vMerge w:val="continue"/>
                                  <w:tcBorders>
                                    <w:top w:val="single" w:color="000000" w:sz="4" w:space="0"/>
                                    <w:left w:val="single" w:color="000000" w:sz="4" w:space="0"/>
                                    <w:bottom w:val="single" w:color="000000" w:sz="4" w:space="0"/>
                                    <w:right w:val="single" w:color="000000" w:sz="4" w:space="0"/>
                                    <w:tl2br w:val="nil"/>
                                    <w:tr2bl w:val="nil"/>
                                  </w:tcBorders>
                                  <w:vAlign w:val="top"/>
                                </w:tcPr>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single" w:color="000000" w:sz="4" w:space="0"/>
                                    <w:left w:val="single" w:color="auto" w:sz="4" w:space="0"/>
                                    <w:bottom w:val="single" w:color="auto" w:sz="4" w:space="0"/>
                                    <w:right w:val="single" w:color="auto" w:sz="4" w:space="0"/>
                                    <w:tl2br w:val="nil"/>
                                    <w:tr2bl w:val="nil"/>
                                  </w:tcBorders>
                                  <w:vAlign w:val="top"/>
                                </w:tcPr>
                                <w:p>
                                  <w:pPr>
                                    <w:pStyle w:val="0"/>
                                    <w:spacing w:line="259" w:lineRule="auto"/>
                                    <w:ind w:left="0" w:leftChars="0" w:firstLine="0" w:firstLineChars="0"/>
                                    <w:rPr>
                                      <w:rFonts w:hint="default"/>
                                    </w:rPr>
                                  </w:pPr>
                                </w:p>
                              </w:tc>
                              <w:tc>
                                <w:tcPr>
                                  <w:tcW w:w="3260" w:type="dxa"/>
                                  <w:tcBorders>
                                    <w:top w:val="single" w:color="000000" w:sz="4" w:space="0"/>
                                    <w:left w:val="single" w:color="auto" w:sz="4" w:space="0"/>
                                    <w:bottom w:val="single" w:color="auto" w:sz="4" w:space="0"/>
                                    <w:right w:val="single" w:color="000000" w:sz="4" w:space="0"/>
                                    <w:tl2br w:val="nil"/>
                                    <w:tr2bl w:val="nil"/>
                                  </w:tcBorders>
                                  <w:vAlign w:val="top"/>
                                </w:tcPr>
                                <w:p>
                                  <w:pPr>
                                    <w:pStyle w:val="0"/>
                                    <w:spacing w:line="259" w:lineRule="auto"/>
                                    <w:ind w:left="0" w:leftChars="0" w:firstLine="0" w:firstLineChars="0"/>
                                    <w:rPr>
                                      <w:rFonts w:hint="default"/>
                                    </w:rPr>
                                  </w:pPr>
                                  <w:r>
                                    <w:rPr>
                                      <w:rFonts w:hint="default"/>
                                    </w:rPr>
                                    <w:t>学校連携による理解促進効果</w:t>
                                  </w:r>
                                </w:p>
                              </w:tc>
                              <w:tc>
                                <w:tcPr>
                                  <w:tcW w:w="5796" w:type="dxa"/>
                                  <w:vMerge w:val="continue"/>
                                  <w:tcBorders>
                                    <w:top w:val="single" w:color="000000" w:sz="4" w:space="0"/>
                                    <w:left w:val="single" w:color="000000" w:sz="4" w:space="0"/>
                                    <w:bottom w:val="single" w:color="auto" w:sz="4" w:space="0"/>
                                    <w:right w:val="single" w:color="000000" w:sz="4" w:space="0"/>
                                    <w:tl2br w:val="nil"/>
                                    <w:tr2bl w:val="nil"/>
                                  </w:tcBorders>
                                  <w:vAlign w:val="top"/>
                                </w:tcPr>
                                <w:p>
                                  <w:pPr>
                                    <w:pStyle w:val="0"/>
                                    <w:spacing w:line="259" w:lineRule="auto"/>
                                    <w:ind w:left="0" w:leftChars="0" w:firstLine="0" w:firstLineChars="0"/>
                                    <w:rPr>
                                      <w:rFonts w:hint="default"/>
                                    </w:rPr>
                                  </w:pPr>
                                </w:p>
                              </w:tc>
                            </w:tr>
                          </w:tbl>
                          <w:p>
                            <w:pPr>
                              <w:pStyle w:val="0"/>
                              <w:ind w:left="0" w:leftChars="0" w:firstLine="0" w:firstLineChars="0"/>
                              <w:rPr>
                                <w:rFonts w:hint="default"/>
                              </w:rPr>
                            </w:pPr>
                          </w:p>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4" style="mso-wrap-distance-right:9pt;mso-wrap-distance-bottom:3.6pt;margin-top:22.3pt;mso-position-vertical-relative:text;mso-position-horizontal-relative:text;v-text-anchor:top;position:absolute;mso-wrap-mode:square;height:496.85pt;mso-wrap-distance-top:3.6pt;width:502.85pt;mso-wrap-distance-left:9pt;margin-left:4.45pt;z-index:3;" o:spid="_x0000_s1028" o:allowincell="t" o:allowoverlap="t" filled="t" fillcolor="#ffffff" stroked="t" strokecolor="#000000" strokeweight="0.75pt" o:spt="202" type="#_x0000_t202">
                <v:fill/>
                <v:stroke miterlimit="8" filltype="solid"/>
                <v:textbox style="layout-flow:horizontal;">
                  <w:txbxContent>
                    <w:p>
                      <w:pPr>
                        <w:pStyle w:val="0"/>
                        <w:ind w:left="0" w:leftChars="0" w:firstLine="0" w:firstLineChars="0"/>
                        <w:rPr>
                          <w:rFonts w:hint="default"/>
                        </w:rPr>
                      </w:pPr>
                    </w:p>
                    <w:tbl>
                      <w:tblPr>
                        <w:tblStyle w:val="62"/>
                        <w:tblW w:w="9760" w:type="dxa"/>
                        <w:tblInd w:w="0" w:type="dxa"/>
                        <w:tblLayout w:type="fixed"/>
                        <w:tblCellMar>
                          <w:top w:w="73" w:type="dxa"/>
                          <w:left w:w="107" w:type="dxa"/>
                          <w:right w:w="115" w:type="dxa"/>
                        </w:tblCellMar>
                        <w:tblLook w:firstRow="1" w:lastRow="0" w:firstColumn="1" w:lastColumn="0" w:noHBand="0" w:noVBand="1" w:val="04A0"/>
                      </w:tblPr>
                      <w:tblGrid>
                        <w:gridCol w:w="704"/>
                        <w:gridCol w:w="3260"/>
                        <w:gridCol w:w="5796"/>
                      </w:tblGrid>
                      <w:tr>
                        <w:trPr>
                          <w:trHeight w:val="368" w:hRule="atLeast"/>
                        </w:trPr>
                        <w:tc>
                          <w:tcPr>
                            <w:tcW w:w="704" w:type="dxa"/>
                            <w:tcBorders>
                              <w:top w:val="single" w:color="000000" w:sz="4" w:space="0"/>
                              <w:left w:val="single" w:color="000000" w:sz="4" w:space="0"/>
                              <w:bottom w:val="single" w:color="auto"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項目</w:t>
                            </w:r>
                          </w:p>
                        </w:tc>
                        <w:tc>
                          <w:tcPr>
                            <w:tcW w:w="32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検証項目</w:t>
                            </w:r>
                          </w:p>
                        </w:tc>
                        <w:tc>
                          <w:tcPr>
                            <w:tcW w:w="57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shd w:val="clear" w:color="auto" w:themeFill="accent5" w:themeFillTint="66" w:themeFillShade="FF"/>
                            <w:vAlign w:val="top"/>
                          </w:tcPr>
                          <w:p>
                            <w:pPr>
                              <w:pStyle w:val="0"/>
                              <w:spacing w:line="259" w:lineRule="auto"/>
                              <w:ind w:left="0" w:leftChars="0" w:firstLine="0" w:firstLineChars="0"/>
                              <w:jc w:val="center"/>
                              <w:rPr>
                                <w:rFonts w:hint="default"/>
                              </w:rPr>
                            </w:pPr>
                            <w:r>
                              <w:rPr>
                                <w:rFonts w:hint="eastAsia"/>
                              </w:rPr>
                              <w:t>検証方法</w:t>
                            </w:r>
                          </w:p>
                        </w:tc>
                      </w:tr>
                      <w:tr>
                        <w:trPr>
                          <w:cantSplit/>
                          <w:trHeight w:val="794" w:hRule="atLeast"/>
                        </w:trPr>
                        <w:tc>
                          <w:tcPr>
                            <w:tcW w:w="704" w:type="dxa"/>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経営面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自動運転バス利用者数の増加</w:t>
                            </w:r>
                          </w:p>
                        </w:tc>
                        <w:tc>
                          <w:tcPr>
                            <w:tcW w:w="5796"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w:t>
                            </w:r>
                            <w:r>
                              <w:rPr>
                                <w:rFonts w:hint="default"/>
                              </w:rPr>
                              <w:t>利用者数および運行データの分析</w:t>
                            </w:r>
                          </w:p>
                          <w:p>
                            <w:pPr>
                              <w:pStyle w:val="0"/>
                              <w:spacing w:line="259" w:lineRule="auto"/>
                              <w:ind w:left="0" w:leftChars="0" w:firstLine="0" w:firstLineChars="0"/>
                              <w:rPr>
                                <w:rFonts w:hint="default"/>
                              </w:rPr>
                            </w:pPr>
                            <w:r>
                              <w:rPr>
                                <w:rFonts w:hint="eastAsia"/>
                              </w:rPr>
                              <w:t>・</w:t>
                            </w:r>
                            <w:r>
                              <w:rPr>
                                <w:rFonts w:hint="default"/>
                              </w:rPr>
                              <w:t>乗車アンケートによる利用目的および消費行動の調査</w:t>
                            </w:r>
                          </w:p>
                          <w:p>
                            <w:pPr>
                              <w:pStyle w:val="0"/>
                              <w:spacing w:line="259" w:lineRule="auto"/>
                              <w:ind w:left="0" w:leftChars="0" w:firstLine="0" w:firstLineChars="0"/>
                              <w:rPr>
                                <w:rFonts w:hint="eastAsia"/>
                              </w:rPr>
                            </w:pPr>
                            <w:r>
                              <w:rPr>
                                <w:rFonts w:hint="eastAsia"/>
                              </w:rPr>
                              <w:t>・</w:t>
                            </w:r>
                            <w:r>
                              <w:rPr>
                                <w:rFonts w:hint="default"/>
                              </w:rPr>
                              <w:t>EV</w:t>
                            </w:r>
                            <w:r>
                              <w:rPr>
                                <w:rFonts w:hint="default"/>
                              </w:rPr>
                              <w:t>車両と既存ディーゼルバスの</w:t>
                            </w:r>
                            <w:r>
                              <w:rPr>
                                <w:rFonts w:hint="default"/>
                              </w:rPr>
                              <w:t>CO₂</w:t>
                            </w:r>
                            <w:r>
                              <w:rPr>
                                <w:rFonts w:hint="default"/>
                              </w:rPr>
                              <w:t>排出量比較</w:t>
                            </w: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公共交通利用促進による地域経済効果</w:t>
                            </w:r>
                          </w:p>
                        </w:tc>
                        <w:tc>
                          <w:tcPr>
                            <w:tcW w:w="5796" w:type="dxa"/>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EV</w:t>
                            </w:r>
                            <w:r>
                              <w:rPr>
                                <w:rFonts w:hint="default"/>
                              </w:rPr>
                              <w:t>車両導入による</w:t>
                            </w:r>
                            <w:r>
                              <w:rPr>
                                <w:rFonts w:hint="default"/>
                              </w:rPr>
                              <w:t>CO₂</w:t>
                            </w:r>
                            <w:r>
                              <w:rPr>
                                <w:rFonts w:hint="default"/>
                              </w:rPr>
                              <w:t>排出削減</w:t>
                            </w:r>
                          </w:p>
                        </w:tc>
                        <w:tc>
                          <w:tcPr>
                            <w:tcW w:w="5796" w:type="dxa"/>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p>
                        </w:tc>
                      </w:tr>
                      <w:tr>
                        <w:trPr>
                          <w:cantSplit/>
                          <w:trHeight w:val="794" w:hRule="atLeast"/>
                        </w:trPr>
                        <w:tc>
                          <w:tcPr>
                            <w:tcW w:w="704" w:type="dxa"/>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r>
                              <w:rPr>
                                <w:rFonts w:hint="eastAsia"/>
                              </w:rPr>
                              <w:t>技術面</w:t>
                            </w: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市街地環境における自動運転率</w:t>
                            </w:r>
                          </w:p>
                        </w:tc>
                        <w:tc>
                          <w:tcPr>
                            <w:tcW w:w="5796"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w:t>
                            </w:r>
                            <w:r>
                              <w:rPr>
                                <w:rFonts w:hint="default"/>
                              </w:rPr>
                              <w:t>自動運転ログデータの分析</w:t>
                            </w:r>
                          </w:p>
                          <w:p>
                            <w:pPr>
                              <w:pStyle w:val="0"/>
                              <w:spacing w:line="259" w:lineRule="auto"/>
                              <w:ind w:left="0" w:leftChars="0" w:firstLine="0" w:firstLineChars="0"/>
                              <w:rPr>
                                <w:rFonts w:hint="eastAsia"/>
                              </w:rPr>
                            </w:pPr>
                            <w:r>
                              <w:rPr>
                                <w:rFonts w:hint="eastAsia"/>
                              </w:rPr>
                              <w:t>・</w:t>
                            </w:r>
                            <w:r>
                              <w:rPr>
                                <w:rFonts w:hint="default"/>
                              </w:rPr>
                              <w:t>オペレーター聞き取りによる踏切通過成功率の調査</w:t>
                            </w:r>
                          </w:p>
                          <w:p>
                            <w:pPr>
                              <w:pStyle w:val="0"/>
                              <w:spacing w:line="259" w:lineRule="auto"/>
                              <w:ind w:left="0" w:leftChars="0" w:firstLine="0" w:firstLineChars="0"/>
                              <w:rPr>
                                <w:rFonts w:hint="default"/>
                              </w:rPr>
                            </w:pPr>
                            <w:r>
                              <w:rPr>
                                <w:rFonts w:hint="eastAsia"/>
                              </w:rPr>
                              <w:t>・バッテリー消費量の計測</w:t>
                            </w: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踏切横断時の自動運転成功率</w:t>
                            </w:r>
                          </w:p>
                        </w:tc>
                        <w:tc>
                          <w:tcPr>
                            <w:tcW w:w="5796" w:type="dxa"/>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firstLine="210"/>
                              <w:rPr>
                                <w:rFonts w:hint="default"/>
                              </w:rPr>
                            </w:pPr>
                          </w:p>
                        </w:tc>
                      </w:tr>
                      <w:tr>
                        <w:trPr>
                          <w:cantSplit/>
                          <w:trHeight w:val="794" w:hRule="atLeast"/>
                        </w:trPr>
                        <w:tc>
                          <w:tcPr>
                            <w:tcW w:w="704"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default"/>
                              </w:rPr>
                              <w:t>手動介入発生箇所および要因分析</w:t>
                            </w:r>
                          </w:p>
                        </w:tc>
                        <w:tc>
                          <w:tcPr>
                            <w:tcW w:w="5796" w:type="dxa"/>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spacing w:line="259" w:lineRule="auto"/>
                              <w:ind w:firstLine="210"/>
                              <w:rPr>
                                <w:rFonts w:hint="default"/>
                              </w:rPr>
                            </w:pPr>
                          </w:p>
                        </w:tc>
                      </w:tr>
                      <w:tr>
                        <w:trPr>
                          <w:cantSplit/>
                          <w:trHeight w:val="794" w:hRule="atLeast"/>
                        </w:trPr>
                        <w:tc>
                          <w:tcPr>
                            <w:tcW w:w="704"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textDirection w:val="tbRlV"/>
                            <w:vAlign w:val="center"/>
                          </w:tcPr>
                          <w:p>
                            <w:pPr>
                              <w:pStyle w:val="0"/>
                              <w:spacing w:line="259" w:lineRule="auto"/>
                              <w:ind w:left="113" w:leftChars="0" w:right="113" w:firstLine="0" w:firstLineChars="0"/>
                              <w:jc w:val="center"/>
                              <w:rPr>
                                <w:rFonts w:hint="default"/>
                              </w:rPr>
                            </w:pPr>
                          </w:p>
                        </w:tc>
                        <w:tc>
                          <w:tcPr>
                            <w:tcW w:w="3260" w:type="dxa"/>
                            <w:tcBorders>
                              <w:top w:val="single" w:color="000000" w:sz="4" w:space="0"/>
                              <w:left w:val="single" w:color="auto"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r>
                              <w:rPr>
                                <w:rFonts w:hint="eastAsia"/>
                              </w:rPr>
                              <w:t>EV</w:t>
                            </w:r>
                            <w:r>
                              <w:rPr>
                                <w:rFonts w:hint="eastAsia"/>
                              </w:rPr>
                              <w:t>車両の運行効率</w:t>
                            </w:r>
                          </w:p>
                        </w:tc>
                        <w:tc>
                          <w:tcPr>
                            <w:tcW w:w="5796" w:type="dxa"/>
                            <w:vMerge w:val="continue"/>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0"/>
                              <w:spacing w:line="259" w:lineRule="auto"/>
                              <w:ind w:left="0" w:leftChars="0" w:firstLine="0" w:firstLineChars="0"/>
                              <w:rPr>
                                <w:rFonts w:hint="default"/>
                              </w:rPr>
                            </w:pPr>
                          </w:p>
                        </w:tc>
                      </w:tr>
                      <w:tr>
                        <w:trPr>
                          <w:cantSplit/>
                          <w:trHeight w:val="794" w:hRule="atLeast"/>
                        </w:trPr>
                        <w:tc>
                          <w:tcPr>
                            <w:tcW w:w="704" w:type="dxa"/>
                            <w:vMerge w:val="restart"/>
                            <w:tcBorders>
                              <w:top w:val="single" w:color="auto" w:sz="4" w:space="0"/>
                              <w:left w:val="single" w:color="auto" w:sz="4" w:space="0"/>
                              <w:bottom w:val="single" w:color="000000" w:sz="4" w:space="0"/>
                              <w:right w:val="single" w:color="auto" w:sz="4" w:space="0"/>
                              <w:tl2br w:val="nil"/>
                              <w:tr2bl w:val="nil"/>
                            </w:tcBorders>
                            <w:textDirection w:val="tbRlV"/>
                            <w:vAlign w:val="center"/>
                          </w:tcPr>
                          <w:p>
                            <w:pPr>
                              <w:pStyle w:val="0"/>
                              <w:spacing w:line="259" w:lineRule="auto"/>
                              <w:ind w:left="113" w:leftChars="0" w:right="113" w:firstLine="0" w:firstLineChars="0"/>
                              <w:jc w:val="center"/>
                              <w:rPr>
                                <w:rFonts w:hint="default"/>
                              </w:rPr>
                            </w:pPr>
                            <w:r>
                              <w:rPr>
                                <w:rFonts w:hint="eastAsia"/>
                              </w:rPr>
                              <w:t>社会受容性面</w:t>
                            </w:r>
                          </w:p>
                        </w:tc>
                        <w:tc>
                          <w:tcPr>
                            <w:tcW w:w="3260" w:type="dxa"/>
                            <w:tcBorders>
                              <w:top w:val="single" w:color="000000" w:sz="4" w:space="0"/>
                              <w:left w:val="single" w:color="auto" w:sz="4" w:space="0"/>
                              <w:bottom w:val="single" w:color="000000" w:sz="4" w:space="0"/>
                              <w:right w:val="single" w:color="000000" w:sz="4" w:space="0"/>
                              <w:tl2br w:val="nil"/>
                              <w:tr2bl w:val="nil"/>
                            </w:tcBorders>
                            <w:vAlign w:val="top"/>
                          </w:tcPr>
                          <w:p>
                            <w:pPr>
                              <w:pStyle w:val="0"/>
                              <w:spacing w:line="259" w:lineRule="auto"/>
                              <w:ind w:left="0" w:leftChars="0" w:firstLine="0" w:firstLineChars="0"/>
                              <w:rPr>
                                <w:rFonts w:hint="default"/>
                              </w:rPr>
                            </w:pPr>
                            <w:r>
                              <w:rPr>
                                <w:rFonts w:hint="default"/>
                              </w:rPr>
                              <w:t>自動運転バスの安全性評価</w:t>
                            </w:r>
                          </w:p>
                        </w:tc>
                        <w:tc>
                          <w:tcPr>
                            <w:tcW w:w="5796" w:type="dxa"/>
                            <w:vMerge w:val="restart"/>
                            <w:tcBorders>
                              <w:top w:val="single" w:color="000000" w:sz="4" w:space="0"/>
                              <w:left w:val="single" w:color="000000" w:sz="4" w:space="0"/>
                              <w:bottom w:val="single" w:color="000000" w:sz="4" w:space="0"/>
                              <w:right w:val="single" w:color="000000" w:sz="4" w:space="0"/>
                              <w:tl2br w:val="nil"/>
                              <w:tr2bl w:val="nil"/>
                            </w:tcBorders>
                            <w:vAlign w:val="top"/>
                          </w:tcPr>
                          <w:p>
                            <w:pPr>
                              <w:pStyle w:val="0"/>
                              <w:spacing w:line="259" w:lineRule="auto"/>
                              <w:ind w:left="0" w:leftChars="0" w:firstLine="0" w:firstLineChars="0"/>
                              <w:rPr>
                                <w:rFonts w:hint="default"/>
                              </w:rPr>
                            </w:pPr>
                            <w:r>
                              <w:rPr>
                                <w:rFonts w:hint="eastAsia"/>
                              </w:rPr>
                              <w:t>・利用者アンケート</w:t>
                            </w:r>
                          </w:p>
                          <w:p>
                            <w:pPr>
                              <w:pStyle w:val="0"/>
                              <w:spacing w:line="259" w:lineRule="auto"/>
                              <w:ind w:left="0" w:leftChars="0" w:firstLine="0" w:firstLineChars="0"/>
                              <w:rPr>
                                <w:rFonts w:hint="default"/>
                              </w:rPr>
                            </w:pPr>
                            <w:r>
                              <w:rPr>
                                <w:rFonts w:hint="eastAsia"/>
                              </w:rPr>
                              <w:t>・</w:t>
                            </w:r>
                            <w:r>
                              <w:rPr>
                                <w:rFonts w:hint="default"/>
                              </w:rPr>
                              <w:t>ヒヤリハット事例の分析</w:t>
                            </w:r>
                          </w:p>
                          <w:p>
                            <w:pPr>
                              <w:pStyle w:val="0"/>
                              <w:spacing w:line="259" w:lineRule="auto"/>
                              <w:ind w:left="0" w:leftChars="0" w:firstLine="0" w:firstLineChars="0"/>
                              <w:rPr>
                                <w:rFonts w:hint="default"/>
                              </w:rPr>
                            </w:pPr>
                            <w:r>
                              <w:rPr>
                                <w:rFonts w:hint="eastAsia"/>
                              </w:rPr>
                              <w:t>・</w:t>
                            </w:r>
                            <w:r>
                              <w:rPr>
                                <w:rFonts w:hint="default"/>
                              </w:rPr>
                              <w:t>出張授業による意識調査</w:t>
                            </w:r>
                          </w:p>
                        </w:tc>
                      </w:tr>
                      <w:tr>
                        <w:trPr>
                          <w:cantSplit/>
                          <w:trHeight w:val="794" w:hRule="atLeast"/>
                        </w:trPr>
                        <w:tc>
                          <w:tcPr>
                            <w:tcW w:w="704" w:type="dxa"/>
                            <w:vMerge w:val="continue"/>
                            <w:tcBorders>
                              <w:top w:val="single" w:color="000000" w:sz="4" w:space="0"/>
                              <w:left w:val="single" w:color="auto" w:sz="4" w:space="0"/>
                              <w:bottom w:val="single" w:color="000000" w:sz="4" w:space="0"/>
                              <w:right w:val="single" w:color="auto" w:sz="4" w:space="0"/>
                              <w:tl2br w:val="nil"/>
                              <w:tr2bl w:val="nil"/>
                            </w:tcBorders>
                            <w:vAlign w:val="top"/>
                          </w:tcPr>
                          <w:p>
                            <w:pPr>
                              <w:pStyle w:val="0"/>
                              <w:spacing w:line="259" w:lineRule="auto"/>
                              <w:ind w:left="0" w:leftChars="0" w:firstLine="0" w:firstLineChars="0"/>
                              <w:rPr>
                                <w:rFonts w:hint="default"/>
                              </w:rPr>
                            </w:pPr>
                          </w:p>
                        </w:tc>
                        <w:tc>
                          <w:tcPr>
                            <w:tcW w:w="3260" w:type="dxa"/>
                            <w:tcBorders>
                              <w:top w:val="single" w:color="000000" w:sz="4" w:space="0"/>
                              <w:left w:val="single" w:color="auto" w:sz="4" w:space="0"/>
                              <w:bottom w:val="single" w:color="000000" w:sz="4" w:space="0"/>
                              <w:right w:val="single" w:color="000000" w:sz="4" w:space="0"/>
                              <w:tl2br w:val="nil"/>
                              <w:tr2bl w:val="nil"/>
                            </w:tcBorders>
                            <w:vAlign w:val="top"/>
                          </w:tcPr>
                          <w:p>
                            <w:pPr>
                              <w:pStyle w:val="0"/>
                              <w:spacing w:line="259" w:lineRule="auto"/>
                              <w:ind w:left="0" w:leftChars="0" w:firstLine="0" w:firstLineChars="0"/>
                              <w:rPr>
                                <w:rFonts w:hint="default"/>
                              </w:rPr>
                            </w:pPr>
                            <w:r>
                              <w:rPr>
                                <w:rFonts w:hint="default"/>
                              </w:rPr>
                              <w:t>通年運行による地域住民の認知・受容性</w:t>
                            </w:r>
                          </w:p>
                        </w:tc>
                        <w:tc>
                          <w:tcPr>
                            <w:tcW w:w="5796" w:type="dxa"/>
                            <w:vMerge w:val="continue"/>
                            <w:tcBorders>
                              <w:top w:val="single" w:color="000000" w:sz="4" w:space="0"/>
                              <w:left w:val="single" w:color="000000" w:sz="4" w:space="0"/>
                              <w:bottom w:val="single" w:color="000000" w:sz="4" w:space="0"/>
                              <w:right w:val="single" w:color="000000" w:sz="4" w:space="0"/>
                              <w:tl2br w:val="nil"/>
                              <w:tr2bl w:val="nil"/>
                            </w:tcBorders>
                            <w:vAlign w:val="top"/>
                          </w:tcPr>
                          <w:p>
                            <w:pPr>
                              <w:pStyle w:val="0"/>
                              <w:spacing w:line="259" w:lineRule="auto"/>
                              <w:ind w:left="0" w:leftChars="0" w:firstLine="0" w:firstLineChars="0"/>
                              <w:rPr>
                                <w:rFonts w:hint="default"/>
                              </w:rPr>
                            </w:pPr>
                          </w:p>
                        </w:tc>
                      </w:tr>
                      <w:tr>
                        <w:trPr>
                          <w:cantSplit/>
                          <w:trHeight w:val="794" w:hRule="atLeast"/>
                        </w:trPr>
                        <w:tc>
                          <w:tcPr>
                            <w:tcW w:w="704" w:type="dxa"/>
                            <w:vMerge w:val="continue"/>
                            <w:tcBorders>
                              <w:top w:val="single" w:color="000000" w:sz="4" w:space="0"/>
                              <w:left w:val="single" w:color="auto" w:sz="4" w:space="0"/>
                              <w:bottom w:val="single" w:color="auto" w:sz="4" w:space="0"/>
                              <w:right w:val="single" w:color="auto" w:sz="4" w:space="0"/>
                              <w:tl2br w:val="nil"/>
                              <w:tr2bl w:val="nil"/>
                            </w:tcBorders>
                            <w:vAlign w:val="top"/>
                          </w:tcPr>
                          <w:p>
                            <w:pPr>
                              <w:pStyle w:val="0"/>
                              <w:spacing w:line="259" w:lineRule="auto"/>
                              <w:ind w:left="0" w:leftChars="0" w:firstLine="0" w:firstLineChars="0"/>
                              <w:rPr>
                                <w:rFonts w:hint="default"/>
                              </w:rPr>
                            </w:pPr>
                          </w:p>
                        </w:tc>
                        <w:tc>
                          <w:tcPr>
                            <w:tcW w:w="3260" w:type="dxa"/>
                            <w:tcBorders>
                              <w:top w:val="single" w:color="000000" w:sz="4" w:space="0"/>
                              <w:left w:val="single" w:color="auto" w:sz="4" w:space="0"/>
                              <w:bottom w:val="single" w:color="auto" w:sz="4" w:space="0"/>
                              <w:right w:val="single" w:color="000000" w:sz="4" w:space="0"/>
                              <w:tl2br w:val="nil"/>
                              <w:tr2bl w:val="nil"/>
                            </w:tcBorders>
                            <w:vAlign w:val="top"/>
                          </w:tcPr>
                          <w:p>
                            <w:pPr>
                              <w:pStyle w:val="0"/>
                              <w:spacing w:line="259" w:lineRule="auto"/>
                              <w:ind w:left="0" w:leftChars="0" w:firstLine="0" w:firstLineChars="0"/>
                              <w:rPr>
                                <w:rFonts w:hint="default"/>
                              </w:rPr>
                            </w:pPr>
                            <w:r>
                              <w:rPr>
                                <w:rFonts w:hint="default"/>
                              </w:rPr>
                              <w:t>学校連携による理解促進効果</w:t>
                            </w:r>
                          </w:p>
                        </w:tc>
                        <w:tc>
                          <w:tcPr>
                            <w:tcW w:w="5796" w:type="dxa"/>
                            <w:vMerge w:val="continue"/>
                            <w:tcBorders>
                              <w:top w:val="single" w:color="000000" w:sz="4" w:space="0"/>
                              <w:left w:val="single" w:color="000000" w:sz="4" w:space="0"/>
                              <w:bottom w:val="single" w:color="auto" w:sz="4" w:space="0"/>
                              <w:right w:val="single" w:color="000000" w:sz="4" w:space="0"/>
                              <w:tl2br w:val="nil"/>
                              <w:tr2bl w:val="nil"/>
                            </w:tcBorders>
                            <w:vAlign w:val="top"/>
                          </w:tcPr>
                          <w:p>
                            <w:pPr>
                              <w:pStyle w:val="0"/>
                              <w:spacing w:line="259" w:lineRule="auto"/>
                              <w:ind w:left="0" w:leftChars="0" w:firstLine="0" w:firstLineChars="0"/>
                              <w:rPr>
                                <w:rFonts w:hint="default"/>
                              </w:rPr>
                            </w:pPr>
                          </w:p>
                        </w:tc>
                      </w:tr>
                    </w:tbl>
                    <w:p>
                      <w:pPr>
                        <w:pStyle w:val="0"/>
                        <w:ind w:left="0" w:leftChars="0" w:firstLine="0" w:firstLineChars="0"/>
                        <w:rPr>
                          <w:rFonts w:hint="default"/>
                        </w:rPr>
                      </w:pPr>
                    </w:p>
                  </w:txbxContent>
                </v:textbox>
                <v:imagedata o:title=""/>
                <w10:wrap type="square" side="both" anchorx="text" anchory="text"/>
              </v:shape>
            </w:pict>
          </mc:Fallback>
        </mc:AlternateContent>
      </w:r>
      <w:r>
        <w:rPr>
          <w:rFonts w:hint="eastAsia" w:ascii="ＭＳ Ｐ明朝" w:hAnsi="ＭＳ Ｐ明朝" w:eastAsia="ＭＳ Ｐ明朝"/>
          <w:b w:val="1"/>
          <w:spacing w:val="-4"/>
          <w:sz w:val="26"/>
        </w:rPr>
        <w:t>【検証項目・検証方法】</w:t>
      </w:r>
    </w:p>
    <w:p>
      <w:pPr>
        <w:pStyle w:val="0"/>
        <w:ind w:left="0" w:leftChars="0" w:firstLine="0" w:firstLineChars="0"/>
        <w:rPr>
          <w:rFonts w:hint="eastAsia" w:ascii="ＭＳ Ｐ明朝" w:hAnsi="ＭＳ Ｐ明朝" w:eastAsia="ＭＳ Ｐ明朝"/>
        </w:rPr>
      </w:pPr>
      <w:r>
        <w:rPr>
          <w:rFonts w:hint="eastAsia" w:ascii="ＭＳ Ｐ明朝" w:hAnsi="ＭＳ Ｐ明朝" w:eastAsia="ＭＳ Ｐ明朝"/>
          <w:b w:val="1"/>
          <w:spacing w:val="-4"/>
          <w:sz w:val="26"/>
        </w:rPr>
        <w:t>【検証・分析結果】</w:t>
      </w:r>
      <w:r>
        <w:rPr>
          <w:rFonts w:hint="eastAsia" w:ascii="ＭＳ Ｐ明朝" w:hAnsi="ＭＳ Ｐ明朝" w:eastAsia="ＭＳ Ｐ明朝"/>
          <w:spacing w:val="-4"/>
          <w:sz w:val="26"/>
        </w:rPr>
        <w:t>　</w:t>
      </w:r>
      <w:r>
        <w:rPr>
          <w:rFonts w:hint="eastAsia" w:ascii="ＭＳ Ｐ明朝" w:hAnsi="ＭＳ Ｐ明朝" w:eastAsia="ＭＳ Ｐ明朝"/>
          <w:spacing w:val="-4"/>
        </w:rPr>
        <w:t>（※前章【検証項目・検証方法】と連動した報告内容を記載ください）</w:t>
      </w:r>
    </w:p>
    <w:p>
      <w:pPr>
        <w:pStyle w:val="0"/>
        <w:ind w:left="0" w:leftChars="0" w:firstLine="0" w:firstLineChars="0"/>
        <w:rPr>
          <w:rFonts w:hint="eastAsia" w:ascii="ＭＳ Ｐ明朝" w:hAnsi="ＭＳ Ｐ明朝" w:eastAsia="ＭＳ Ｐ明朝"/>
          <w:spacing w:val="-4"/>
        </w:rPr>
      </w:pPr>
    </w:p>
    <w:p>
      <w:pPr>
        <w:pStyle w:val="0"/>
        <w:ind w:left="0" w:leftChars="0" w:firstLine="0" w:firstLineChars="0"/>
        <w:rPr>
          <w:rFonts w:hint="eastAsia" w:ascii="ＭＳ Ｐ明朝" w:hAnsi="ＭＳ Ｐ明朝" w:eastAsia="ＭＳ Ｐ明朝"/>
          <w:spacing w:val="-4"/>
        </w:rPr>
      </w:pPr>
      <w:r>
        <w:rPr>
          <w:rFonts w:hint="eastAsia" w:ascii="ＭＳ Ｐ明朝" w:hAnsi="ＭＳ Ｐ明朝" w:eastAsia="ＭＳ Ｐ明朝"/>
          <w:spacing w:val="-4"/>
        </w:rPr>
        <w:t>■経営面</w:t>
      </w:r>
    </w:p>
    <w:p>
      <w:pPr>
        <w:pStyle w:val="0"/>
        <w:widowControl w:val="1"/>
        <w:autoSpaceDE w:val="1"/>
        <w:autoSpaceDN w:val="1"/>
        <w:adjustRightInd w:val="0"/>
        <w:snapToGrid w:val="0"/>
        <w:spacing w:before="100" w:beforeLines="0" w:beforeAutospacing="1" w:after="100" w:afterLines="0" w:afterAutospacing="1"/>
        <w:ind w:left="0" w:leftChars="0" w:firstLine="0" w:firstLineChars="0"/>
        <w:rPr>
          <w:rFonts w:hint="eastAsia" w:ascii="ＭＳ Ｐ明朝" w:hAnsi="ＭＳ Ｐ明朝" w:eastAsia="ＭＳ Ｐ明朝"/>
        </w:rPr>
      </w:pPr>
    </w:p>
    <w:p>
      <w:pPr>
        <w:pStyle w:val="0"/>
        <w:widowControl w:val="1"/>
        <w:autoSpaceDE w:val="1"/>
        <w:autoSpaceDN w:val="1"/>
        <w:adjustRightInd w:val="0"/>
        <w:snapToGrid w:val="0"/>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rPr>
        <mc:AlternateContent>
          <mc:Choice Requires="wps">
            <w:drawing>
              <wp:inline distT="0" distB="0" distL="114300" distR="114300">
                <wp:extent cx="6472555" cy="4081780"/>
                <wp:effectExtent l="635" t="635" r="29845" b="10795"/>
                <wp:docPr id="1029" name="正方形/長方形 8"/>
                <a:graphic xmlns:a="http://schemas.openxmlformats.org/drawingml/2006/main">
                  <a:graphicData uri="http://schemas.microsoft.com/office/word/2010/wordprocessingShape">
                    <wps:wsp>
                      <wps:cNvPr id="1029" name="正方形/長方形 8"/>
                      <wps:cNvSpPr/>
                      <wps:spPr>
                        <a:xfrm>
                          <a:off x="0" y="0"/>
                          <a:ext cx="6472555" cy="4081780"/>
                        </a:xfrm>
                        <a:prstGeom prst="rect">
                          <a:avLst/>
                        </a:prstGeom>
                        <a:no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【需要・実績】</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2025</w:t>
                            </w:r>
                            <w:r>
                              <w:rPr>
                                <w:rFonts w:hint="eastAsia" w:ascii="ＭＳ Ｐ明朝" w:hAnsi="ＭＳ Ｐ明朝" w:eastAsia="ＭＳ Ｐ明朝"/>
                              </w:rPr>
                              <w:t>年度の自動運転バス利用者数は</w:t>
                            </w:r>
                            <w:r>
                              <w:rPr>
                                <w:rFonts w:hint="eastAsia" w:ascii="ＭＳ Ｐ明朝" w:hAnsi="ＭＳ Ｐ明朝" w:eastAsia="ＭＳ Ｐ明朝"/>
                                <w:b w:val="1"/>
                              </w:rPr>
                              <w:t>2,084</w:t>
                            </w:r>
                            <w:r>
                              <w:rPr>
                                <w:rFonts w:hint="eastAsia" w:ascii="ＭＳ Ｐ明朝" w:hAnsi="ＭＳ Ｐ明朝" w:eastAsia="ＭＳ Ｐ明朝"/>
                                <w:b w:val="1"/>
                              </w:rPr>
                              <w:t>人</w:t>
                            </w:r>
                            <w:r>
                              <w:rPr>
                                <w:rFonts w:hint="eastAsia" w:ascii="ＭＳ Ｐ明朝" w:hAnsi="ＭＳ Ｐ明朝" w:eastAsia="ＭＳ Ｐ明朝"/>
                              </w:rPr>
                              <w:t>と</w:t>
                            </w:r>
                            <w:r>
                              <w:rPr>
                                <w:rFonts w:hint="eastAsia" w:ascii="ＭＳ Ｐ明朝" w:hAnsi="ＭＳ Ｐ明朝" w:eastAsia="ＭＳ Ｐ明朝"/>
                              </w:rPr>
                              <w:t>なり、前年実績（</w:t>
                            </w:r>
                            <w:r>
                              <w:rPr>
                                <w:rFonts w:hint="eastAsia" w:ascii="ＭＳ Ｐ明朝" w:hAnsi="ＭＳ Ｐ明朝" w:eastAsia="ＭＳ Ｐ明朝"/>
                              </w:rPr>
                              <w:t>1,957</w:t>
                            </w:r>
                            <w:r>
                              <w:rPr>
                                <w:rFonts w:hint="eastAsia" w:ascii="ＭＳ Ｐ明朝" w:hAnsi="ＭＳ Ｐ明朝" w:eastAsia="ＭＳ Ｐ明朝"/>
                              </w:rPr>
                              <w:t>人）を上回り、</w:t>
                            </w:r>
                            <w:r>
                              <w:rPr>
                                <w:rFonts w:hint="eastAsia" w:ascii="ＭＳ Ｐ明朝" w:hAnsi="ＭＳ Ｐ明朝" w:eastAsia="ＭＳ Ｐ明朝"/>
                                <w:b w:val="1"/>
                              </w:rPr>
                              <w:t>前年比</w:t>
                            </w:r>
                            <w:r>
                              <w:rPr>
                                <w:rFonts w:hint="eastAsia" w:ascii="ＭＳ Ｐ明朝" w:hAnsi="ＭＳ Ｐ明朝" w:eastAsia="ＭＳ Ｐ明朝"/>
                                <w:b w:val="1"/>
                              </w:rPr>
                              <w:t>+6.5</w:t>
                            </w:r>
                            <w:r>
                              <w:rPr>
                                <w:rFonts w:hint="eastAsia" w:ascii="ＭＳ Ｐ明朝" w:hAnsi="ＭＳ Ｐ明朝" w:eastAsia="ＭＳ Ｐ明朝"/>
                                <w:b w:val="1"/>
                              </w:rPr>
                              <w:t>％の増加</w:t>
                            </w:r>
                            <w:r>
                              <w:rPr>
                                <w:rFonts w:hint="eastAsia" w:ascii="ＭＳ Ｐ明朝" w:hAnsi="ＭＳ Ｐ明朝" w:eastAsia="ＭＳ Ｐ明朝"/>
                              </w:rPr>
                              <w:t>となった。また、ルート改定および停留所増設、運行ダイヤ見直しにより、月当たり利用者数の増加が確認され、公共交通利用の促進に一定の効果が見られた。</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EV</w:t>
                            </w:r>
                            <w:r>
                              <w:rPr>
                                <w:rFonts w:hint="eastAsia" w:ascii="ＭＳ Ｐ明朝" w:hAnsi="ＭＳ Ｐ明朝" w:eastAsia="ＭＳ Ｐ明朝"/>
                              </w:rPr>
                              <w:t>車両導入による</w:t>
                            </w:r>
                            <w:r>
                              <w:rPr>
                                <w:rFonts w:hint="eastAsia" w:ascii="ＭＳ Ｐ明朝" w:hAnsi="ＭＳ Ｐ明朝" w:eastAsia="ＭＳ Ｐ明朝"/>
                              </w:rPr>
                              <w:t>CO</w:t>
                            </w:r>
                            <w:r>
                              <w:rPr>
                                <w:rFonts w:hint="eastAsia" w:ascii="ＭＳ Ｐ明朝" w:hAnsi="ＭＳ Ｐ明朝" w:eastAsia="ＭＳ Ｐ明朝"/>
                              </w:rPr>
                              <w:t>₂排出量比較では、</w:t>
                            </w:r>
                          </w:p>
                          <w:p>
                            <w:pPr>
                              <w:pStyle w:val="0"/>
                              <w:widowControl w:val="1"/>
                              <w:numPr>
                                <w:ilvl w:val="0"/>
                                <w:numId w:val="7"/>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ディーゼルバス：約</w:t>
                            </w:r>
                            <w:r>
                              <w:rPr>
                                <w:rFonts w:hint="eastAsia" w:ascii="ＭＳ Ｐ明朝" w:hAnsi="ＭＳ Ｐ明朝" w:eastAsia="ＭＳ Ｐ明朝"/>
                              </w:rPr>
                              <w:t>11,205kg</w:t>
                            </w:r>
                          </w:p>
                          <w:p>
                            <w:pPr>
                              <w:pStyle w:val="0"/>
                              <w:widowControl w:val="1"/>
                              <w:numPr>
                                <w:ilvl w:val="0"/>
                                <w:numId w:val="7"/>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EV</w:t>
                            </w:r>
                            <w:r>
                              <w:rPr>
                                <w:rFonts w:hint="eastAsia" w:ascii="ＭＳ Ｐ明朝" w:hAnsi="ＭＳ Ｐ明朝" w:eastAsia="ＭＳ Ｐ明朝"/>
                              </w:rPr>
                              <w:t>自動運転バス：約</w:t>
                            </w:r>
                            <w:r>
                              <w:rPr>
                                <w:rFonts w:hint="eastAsia" w:ascii="ＭＳ Ｐ明朝" w:hAnsi="ＭＳ Ｐ明朝" w:eastAsia="ＭＳ Ｐ明朝"/>
                              </w:rPr>
                              <w:t>6,368kg</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となり、</w:t>
                            </w:r>
                            <w:r>
                              <w:rPr>
                                <w:rFonts w:hint="eastAsia" w:ascii="ＭＳ Ｐ明朝" w:hAnsi="ＭＳ Ｐ明朝" w:eastAsia="ＭＳ Ｐ明朝"/>
                                <w:b w:val="1"/>
                              </w:rPr>
                              <w:t>約</w:t>
                            </w:r>
                            <w:r>
                              <w:rPr>
                                <w:rFonts w:hint="eastAsia" w:ascii="ＭＳ Ｐ明朝" w:hAnsi="ＭＳ Ｐ明朝" w:eastAsia="ＭＳ Ｐ明朝"/>
                                <w:b w:val="1"/>
                              </w:rPr>
                              <w:t>43</w:t>
                            </w:r>
                            <w:r>
                              <w:rPr>
                                <w:rFonts w:hint="eastAsia" w:ascii="ＭＳ Ｐ明朝" w:hAnsi="ＭＳ Ｐ明朝" w:eastAsia="ＭＳ Ｐ明朝"/>
                                <w:b w:val="1"/>
                              </w:rPr>
                              <w:t>％の</w:t>
                            </w:r>
                            <w:r>
                              <w:rPr>
                                <w:rFonts w:hint="eastAsia" w:ascii="ＭＳ Ｐ明朝" w:hAnsi="ＭＳ Ｐ明朝" w:eastAsia="ＭＳ Ｐ明朝"/>
                                <w:b w:val="1"/>
                              </w:rPr>
                              <w:t>CO</w:t>
                            </w:r>
                            <w:r>
                              <w:rPr>
                                <w:rFonts w:hint="eastAsia" w:ascii="ＭＳ Ｐ明朝" w:hAnsi="ＭＳ Ｐ明朝" w:eastAsia="ＭＳ Ｐ明朝"/>
                                <w:b w:val="1"/>
                              </w:rPr>
                              <w:t>₂排出削減効果</w:t>
                            </w:r>
                            <w:r>
                              <w:rPr>
                                <w:rFonts w:hint="eastAsia" w:ascii="ＭＳ Ｐ明朝" w:hAnsi="ＭＳ Ｐ明朝" w:eastAsia="ＭＳ Ｐ明朝"/>
                              </w:rPr>
                              <w:t>が確認された。</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【収入・財源】</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運賃は無料で収入ゼロ。外部財源は県補助</w:t>
                            </w:r>
                            <w:r>
                              <w:rPr>
                                <w:rFonts w:hint="eastAsia" w:ascii="ＭＳ Ｐ明朝" w:hAnsi="ＭＳ Ｐ明朝" w:eastAsia="ＭＳ Ｐ明朝"/>
                              </w:rPr>
                              <w:t>1,000</w:t>
                            </w:r>
                            <w:r>
                              <w:rPr>
                                <w:rFonts w:hint="eastAsia" w:ascii="ＭＳ Ｐ明朝" w:hAnsi="ＭＳ Ｐ明朝" w:eastAsia="ＭＳ Ｐ明朝"/>
                              </w:rPr>
                              <w:t>万円、国補助</w:t>
                            </w:r>
                            <w:r>
                              <w:rPr>
                                <w:rFonts w:hint="eastAsia" w:ascii="ＭＳ Ｐ明朝" w:hAnsi="ＭＳ Ｐ明朝" w:eastAsia="ＭＳ Ｐ明朝"/>
                              </w:rPr>
                              <w:t>8,000</w:t>
                            </w:r>
                            <w:r>
                              <w:rPr>
                                <w:rFonts w:hint="eastAsia" w:ascii="ＭＳ Ｐ明朝" w:hAnsi="ＭＳ Ｐ明朝" w:eastAsia="ＭＳ Ｐ明朝"/>
                              </w:rPr>
                              <w:t>万円、自主財源は自治体負担</w:t>
                            </w:r>
                            <w:r>
                              <w:rPr>
                                <w:rFonts w:hint="eastAsia" w:ascii="ＭＳ Ｐ明朝" w:hAnsi="ＭＳ Ｐ明朝" w:eastAsia="ＭＳ Ｐ明朝"/>
                              </w:rPr>
                              <w:t>2,336</w:t>
                            </w:r>
                            <w:r>
                              <w:rPr>
                                <w:rFonts w:hint="eastAsia" w:ascii="ＭＳ Ｐ明朝" w:hAnsi="ＭＳ Ｐ明朝" w:eastAsia="ＭＳ Ｐ明朝"/>
                              </w:rPr>
                              <w:t>万円、うち一部の一般財源については空港周辺対策交付金を申請・協議中</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【採算性と課題】</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収入に対し大幅な運営費で恒常赤字、補助金に依存している。中期計画でも同傾向が続く見通しとなっている。需要は伸長傾向だが停留所別・時間帯別の実績把握が不足している。</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【改善策】</w:t>
                            </w:r>
                          </w:p>
                          <w:p>
                            <w:pPr>
                              <w:pStyle w:val="16"/>
                              <w:widowControl w:val="1"/>
                              <w:numPr>
                                <w:ilvl w:val="0"/>
                                <w:numId w:val="8"/>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運用効率化：　１：Ｎ遠隔監視の段階導入、ライセンス要件の適正化、充電運用最適化で労務・システムコストを圧縮。</w:t>
                            </w:r>
                          </w:p>
                          <w:p>
                            <w:pPr>
                              <w:pStyle w:val="16"/>
                              <w:widowControl w:val="1"/>
                              <w:numPr>
                                <w:ilvl w:val="0"/>
                                <w:numId w:val="8"/>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需要最適化：　停留所別データの可視化に基づく便・区間配分最適化、商業施設連携の強化。</w:t>
                            </w:r>
                          </w:p>
                          <w:p>
                            <w:pPr>
                              <w:pStyle w:val="0"/>
                              <w:widowControl w:val="1"/>
                              <w:numPr>
                                <w:ilvl w:val="0"/>
                                <w:numId w:val="8"/>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収入多様化：　段階的運賃導入（</w:t>
                            </w:r>
                            <w:r>
                              <w:rPr>
                                <w:rFonts w:hint="eastAsia" w:ascii="ＭＳ Ｐ明朝" w:hAnsi="ＭＳ Ｐ明朝" w:eastAsia="ＭＳ Ｐ明朝"/>
                              </w:rPr>
                              <w:t>100</w:t>
                            </w:r>
                            <w:r>
                              <w:rPr>
                                <w:rFonts w:hint="eastAsia" w:ascii="ＭＳ Ｐ明朝" w:hAnsi="ＭＳ Ｐ明朝" w:eastAsia="ＭＳ Ｐ明朝"/>
                              </w:rPr>
                              <w:t>～</w:t>
                            </w:r>
                            <w:r>
                              <w:rPr>
                                <w:rFonts w:hint="eastAsia" w:ascii="ＭＳ Ｐ明朝" w:hAnsi="ＭＳ Ｐ明朝" w:eastAsia="ＭＳ Ｐ明朝"/>
                              </w:rPr>
                              <w:t>300</w:t>
                            </w:r>
                            <w:r>
                              <w:rPr>
                                <w:rFonts w:hint="eastAsia" w:ascii="ＭＳ Ｐ明朝" w:hAnsi="ＭＳ Ｐ明朝" w:eastAsia="ＭＳ Ｐ明朝"/>
                              </w:rPr>
                              <w:t>円）の需要影響を検証しつつ、協賛・企業版ふるさと納税の獲得強化。</w:t>
                            </w:r>
                          </w:p>
                          <w:p>
                            <w:pPr>
                              <w:pStyle w:val="0"/>
                              <w:widowControl w:val="1"/>
                              <w:numPr>
                                <w:ilvl w:val="0"/>
                                <w:numId w:val="8"/>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L4</w:t>
                            </w:r>
                            <w:r>
                              <w:rPr>
                                <w:rFonts w:hint="eastAsia" w:ascii="ＭＳ Ｐ明朝" w:hAnsi="ＭＳ Ｐ明朝" w:eastAsia="ＭＳ Ｐ明朝"/>
                              </w:rPr>
                              <w:t>移行：　踏切対応と路車協調の進捗で運用効率・安全性を高め、中長期のコスト構造改善に繋げる。</w:t>
                            </w:r>
                          </w:p>
                        </w:txbxContent>
                      </wps:txbx>
                      <wps:bodyPr vertOverflow="overflow" horzOverflow="overflow" lIns="180000" tIns="108000" rIns="180000" bIns="108000" anchor="t"/>
                    </wps:wsp>
                  </a:graphicData>
                </a:graphic>
              </wp:inline>
            </w:drawing>
          </mc:Choice>
          <mc:Fallback>
            <w:pict>
              <v:rect id="正方形/長方形 8" style="v-text-anchor:top;height:321.39pt;width:509.65pt;" o:spid="_x0000_s1029" filled="f" stroked="t" strokecolor="#000000 [3213]" strokeweight="0.25pt" o:spt="1">
                <v:fill/>
                <v:stroke linestyle="single" endcap="flat" dashstyle="solid" filltype="solid"/>
                <v:textbox style="layout-flow:horizontal;" inset="4.9999999999999991mm,2.9999999999999996mm,4.9999999999999991mm,2.9999999999999996mm">
                  <w:txbxContent>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【需要・実績】</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2025</w:t>
                      </w:r>
                      <w:r>
                        <w:rPr>
                          <w:rFonts w:hint="eastAsia" w:ascii="ＭＳ Ｐ明朝" w:hAnsi="ＭＳ Ｐ明朝" w:eastAsia="ＭＳ Ｐ明朝"/>
                        </w:rPr>
                        <w:t>年度の自動運転バス利用者数は</w:t>
                      </w:r>
                      <w:r>
                        <w:rPr>
                          <w:rFonts w:hint="eastAsia" w:ascii="ＭＳ Ｐ明朝" w:hAnsi="ＭＳ Ｐ明朝" w:eastAsia="ＭＳ Ｐ明朝"/>
                          <w:b w:val="1"/>
                        </w:rPr>
                        <w:t>2,084</w:t>
                      </w:r>
                      <w:r>
                        <w:rPr>
                          <w:rFonts w:hint="eastAsia" w:ascii="ＭＳ Ｐ明朝" w:hAnsi="ＭＳ Ｐ明朝" w:eastAsia="ＭＳ Ｐ明朝"/>
                          <w:b w:val="1"/>
                        </w:rPr>
                        <w:t>人</w:t>
                      </w:r>
                      <w:r>
                        <w:rPr>
                          <w:rFonts w:hint="eastAsia" w:ascii="ＭＳ Ｐ明朝" w:hAnsi="ＭＳ Ｐ明朝" w:eastAsia="ＭＳ Ｐ明朝"/>
                        </w:rPr>
                        <w:t>と</w:t>
                      </w:r>
                      <w:r>
                        <w:rPr>
                          <w:rFonts w:hint="eastAsia" w:ascii="ＭＳ Ｐ明朝" w:hAnsi="ＭＳ Ｐ明朝" w:eastAsia="ＭＳ Ｐ明朝"/>
                        </w:rPr>
                        <w:t>なり、前年実績（</w:t>
                      </w:r>
                      <w:r>
                        <w:rPr>
                          <w:rFonts w:hint="eastAsia" w:ascii="ＭＳ Ｐ明朝" w:hAnsi="ＭＳ Ｐ明朝" w:eastAsia="ＭＳ Ｐ明朝"/>
                        </w:rPr>
                        <w:t>1,957</w:t>
                      </w:r>
                      <w:r>
                        <w:rPr>
                          <w:rFonts w:hint="eastAsia" w:ascii="ＭＳ Ｐ明朝" w:hAnsi="ＭＳ Ｐ明朝" w:eastAsia="ＭＳ Ｐ明朝"/>
                        </w:rPr>
                        <w:t>人）を上回り、</w:t>
                      </w:r>
                      <w:r>
                        <w:rPr>
                          <w:rFonts w:hint="eastAsia" w:ascii="ＭＳ Ｐ明朝" w:hAnsi="ＭＳ Ｐ明朝" w:eastAsia="ＭＳ Ｐ明朝"/>
                          <w:b w:val="1"/>
                        </w:rPr>
                        <w:t>前年比</w:t>
                      </w:r>
                      <w:r>
                        <w:rPr>
                          <w:rFonts w:hint="eastAsia" w:ascii="ＭＳ Ｐ明朝" w:hAnsi="ＭＳ Ｐ明朝" w:eastAsia="ＭＳ Ｐ明朝"/>
                          <w:b w:val="1"/>
                        </w:rPr>
                        <w:t>+6.5</w:t>
                      </w:r>
                      <w:r>
                        <w:rPr>
                          <w:rFonts w:hint="eastAsia" w:ascii="ＭＳ Ｐ明朝" w:hAnsi="ＭＳ Ｐ明朝" w:eastAsia="ＭＳ Ｐ明朝"/>
                          <w:b w:val="1"/>
                        </w:rPr>
                        <w:t>％の増加</w:t>
                      </w:r>
                      <w:r>
                        <w:rPr>
                          <w:rFonts w:hint="eastAsia" w:ascii="ＭＳ Ｐ明朝" w:hAnsi="ＭＳ Ｐ明朝" w:eastAsia="ＭＳ Ｐ明朝"/>
                        </w:rPr>
                        <w:t>となった。また、ルート改定および停留所増設、運行ダイヤ見直しにより、月当たり利用者数の増加が確認され、公共交通利用の促進に一定の効果が見られた。</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EV</w:t>
                      </w:r>
                      <w:r>
                        <w:rPr>
                          <w:rFonts w:hint="eastAsia" w:ascii="ＭＳ Ｐ明朝" w:hAnsi="ＭＳ Ｐ明朝" w:eastAsia="ＭＳ Ｐ明朝"/>
                        </w:rPr>
                        <w:t>車両導入による</w:t>
                      </w:r>
                      <w:r>
                        <w:rPr>
                          <w:rFonts w:hint="eastAsia" w:ascii="ＭＳ Ｐ明朝" w:hAnsi="ＭＳ Ｐ明朝" w:eastAsia="ＭＳ Ｐ明朝"/>
                        </w:rPr>
                        <w:t>CO</w:t>
                      </w:r>
                      <w:r>
                        <w:rPr>
                          <w:rFonts w:hint="eastAsia" w:ascii="ＭＳ Ｐ明朝" w:hAnsi="ＭＳ Ｐ明朝" w:eastAsia="ＭＳ Ｐ明朝"/>
                        </w:rPr>
                        <w:t>₂排出量比較では、</w:t>
                      </w:r>
                    </w:p>
                    <w:p>
                      <w:pPr>
                        <w:pStyle w:val="0"/>
                        <w:widowControl w:val="1"/>
                        <w:numPr>
                          <w:ilvl w:val="0"/>
                          <w:numId w:val="7"/>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ディーゼルバス：約</w:t>
                      </w:r>
                      <w:r>
                        <w:rPr>
                          <w:rFonts w:hint="eastAsia" w:ascii="ＭＳ Ｐ明朝" w:hAnsi="ＭＳ Ｐ明朝" w:eastAsia="ＭＳ Ｐ明朝"/>
                        </w:rPr>
                        <w:t>11,205kg</w:t>
                      </w:r>
                    </w:p>
                    <w:p>
                      <w:pPr>
                        <w:pStyle w:val="0"/>
                        <w:widowControl w:val="1"/>
                        <w:numPr>
                          <w:ilvl w:val="0"/>
                          <w:numId w:val="7"/>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EV</w:t>
                      </w:r>
                      <w:r>
                        <w:rPr>
                          <w:rFonts w:hint="eastAsia" w:ascii="ＭＳ Ｐ明朝" w:hAnsi="ＭＳ Ｐ明朝" w:eastAsia="ＭＳ Ｐ明朝"/>
                        </w:rPr>
                        <w:t>自動運転バス：約</w:t>
                      </w:r>
                      <w:r>
                        <w:rPr>
                          <w:rFonts w:hint="eastAsia" w:ascii="ＭＳ Ｐ明朝" w:hAnsi="ＭＳ Ｐ明朝" w:eastAsia="ＭＳ Ｐ明朝"/>
                        </w:rPr>
                        <w:t>6,368kg</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となり、</w:t>
                      </w:r>
                      <w:r>
                        <w:rPr>
                          <w:rFonts w:hint="eastAsia" w:ascii="ＭＳ Ｐ明朝" w:hAnsi="ＭＳ Ｐ明朝" w:eastAsia="ＭＳ Ｐ明朝"/>
                          <w:b w:val="1"/>
                        </w:rPr>
                        <w:t>約</w:t>
                      </w:r>
                      <w:r>
                        <w:rPr>
                          <w:rFonts w:hint="eastAsia" w:ascii="ＭＳ Ｐ明朝" w:hAnsi="ＭＳ Ｐ明朝" w:eastAsia="ＭＳ Ｐ明朝"/>
                          <w:b w:val="1"/>
                        </w:rPr>
                        <w:t>43</w:t>
                      </w:r>
                      <w:r>
                        <w:rPr>
                          <w:rFonts w:hint="eastAsia" w:ascii="ＭＳ Ｐ明朝" w:hAnsi="ＭＳ Ｐ明朝" w:eastAsia="ＭＳ Ｐ明朝"/>
                          <w:b w:val="1"/>
                        </w:rPr>
                        <w:t>％の</w:t>
                      </w:r>
                      <w:r>
                        <w:rPr>
                          <w:rFonts w:hint="eastAsia" w:ascii="ＭＳ Ｐ明朝" w:hAnsi="ＭＳ Ｐ明朝" w:eastAsia="ＭＳ Ｐ明朝"/>
                          <w:b w:val="1"/>
                        </w:rPr>
                        <w:t>CO</w:t>
                      </w:r>
                      <w:r>
                        <w:rPr>
                          <w:rFonts w:hint="eastAsia" w:ascii="ＭＳ Ｐ明朝" w:hAnsi="ＭＳ Ｐ明朝" w:eastAsia="ＭＳ Ｐ明朝"/>
                          <w:b w:val="1"/>
                        </w:rPr>
                        <w:t>₂排出削減効果</w:t>
                      </w:r>
                      <w:r>
                        <w:rPr>
                          <w:rFonts w:hint="eastAsia" w:ascii="ＭＳ Ｐ明朝" w:hAnsi="ＭＳ Ｐ明朝" w:eastAsia="ＭＳ Ｐ明朝"/>
                        </w:rPr>
                        <w:t>が確認された。</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【収入・財源】</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運賃は無料で収入ゼロ。外部財源は県補助</w:t>
                      </w:r>
                      <w:r>
                        <w:rPr>
                          <w:rFonts w:hint="eastAsia" w:ascii="ＭＳ Ｐ明朝" w:hAnsi="ＭＳ Ｐ明朝" w:eastAsia="ＭＳ Ｐ明朝"/>
                        </w:rPr>
                        <w:t>1,000</w:t>
                      </w:r>
                      <w:r>
                        <w:rPr>
                          <w:rFonts w:hint="eastAsia" w:ascii="ＭＳ Ｐ明朝" w:hAnsi="ＭＳ Ｐ明朝" w:eastAsia="ＭＳ Ｐ明朝"/>
                        </w:rPr>
                        <w:t>万円、国補助</w:t>
                      </w:r>
                      <w:r>
                        <w:rPr>
                          <w:rFonts w:hint="eastAsia" w:ascii="ＭＳ Ｐ明朝" w:hAnsi="ＭＳ Ｐ明朝" w:eastAsia="ＭＳ Ｐ明朝"/>
                        </w:rPr>
                        <w:t>8,000</w:t>
                      </w:r>
                      <w:r>
                        <w:rPr>
                          <w:rFonts w:hint="eastAsia" w:ascii="ＭＳ Ｐ明朝" w:hAnsi="ＭＳ Ｐ明朝" w:eastAsia="ＭＳ Ｐ明朝"/>
                        </w:rPr>
                        <w:t>万円、自主財源は自治体負担</w:t>
                      </w:r>
                      <w:r>
                        <w:rPr>
                          <w:rFonts w:hint="eastAsia" w:ascii="ＭＳ Ｐ明朝" w:hAnsi="ＭＳ Ｐ明朝" w:eastAsia="ＭＳ Ｐ明朝"/>
                        </w:rPr>
                        <w:t>2,336</w:t>
                      </w:r>
                      <w:r>
                        <w:rPr>
                          <w:rFonts w:hint="eastAsia" w:ascii="ＭＳ Ｐ明朝" w:hAnsi="ＭＳ Ｐ明朝" w:eastAsia="ＭＳ Ｐ明朝"/>
                        </w:rPr>
                        <w:t>万円、うち一部の一般財源については空港周辺対策交付金を申請・協議中</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【採算性と課題】</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収入に対し大幅な運営費で恒常赤字、補助金に依存している。中期計画でも同傾向が続く見通しとなっている。需要は伸長傾向だが停留所別・時間帯別の実績把握が不足している。</w:t>
                      </w:r>
                    </w:p>
                    <w:p>
                      <w:pPr>
                        <w:pStyle w:val="0"/>
                        <w:widowControl w:val="1"/>
                        <w:autoSpaceDE w:val="1"/>
                        <w:autoSpaceDN w:val="1"/>
                        <w:adjustRightInd w:val="0"/>
                        <w:snapToGrid w:val="0"/>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【改善策】</w:t>
                      </w:r>
                    </w:p>
                    <w:p>
                      <w:pPr>
                        <w:pStyle w:val="16"/>
                        <w:widowControl w:val="1"/>
                        <w:numPr>
                          <w:ilvl w:val="0"/>
                          <w:numId w:val="8"/>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運用効率化：　１：Ｎ遠隔監視の段階導入、ライセンス要件の適正化、充電運用最適化で労務・システムコストを圧縮。</w:t>
                      </w:r>
                    </w:p>
                    <w:p>
                      <w:pPr>
                        <w:pStyle w:val="16"/>
                        <w:widowControl w:val="1"/>
                        <w:numPr>
                          <w:ilvl w:val="0"/>
                          <w:numId w:val="8"/>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需要最適化：　停留所別データの可視化に基づく便・区間配分最適化、商業施設連携の強化。</w:t>
                      </w:r>
                    </w:p>
                    <w:p>
                      <w:pPr>
                        <w:pStyle w:val="0"/>
                        <w:widowControl w:val="1"/>
                        <w:numPr>
                          <w:ilvl w:val="0"/>
                          <w:numId w:val="8"/>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収入多様化：　段階的運賃導入（</w:t>
                      </w:r>
                      <w:r>
                        <w:rPr>
                          <w:rFonts w:hint="eastAsia" w:ascii="ＭＳ Ｐ明朝" w:hAnsi="ＭＳ Ｐ明朝" w:eastAsia="ＭＳ Ｐ明朝"/>
                        </w:rPr>
                        <w:t>100</w:t>
                      </w:r>
                      <w:r>
                        <w:rPr>
                          <w:rFonts w:hint="eastAsia" w:ascii="ＭＳ Ｐ明朝" w:hAnsi="ＭＳ Ｐ明朝" w:eastAsia="ＭＳ Ｐ明朝"/>
                        </w:rPr>
                        <w:t>～</w:t>
                      </w:r>
                      <w:r>
                        <w:rPr>
                          <w:rFonts w:hint="eastAsia" w:ascii="ＭＳ Ｐ明朝" w:hAnsi="ＭＳ Ｐ明朝" w:eastAsia="ＭＳ Ｐ明朝"/>
                        </w:rPr>
                        <w:t>300</w:t>
                      </w:r>
                      <w:r>
                        <w:rPr>
                          <w:rFonts w:hint="eastAsia" w:ascii="ＭＳ Ｐ明朝" w:hAnsi="ＭＳ Ｐ明朝" w:eastAsia="ＭＳ Ｐ明朝"/>
                        </w:rPr>
                        <w:t>円）の需要影響を検証しつつ、協賛・企業版ふるさと納税の獲得強化。</w:t>
                      </w:r>
                    </w:p>
                    <w:p>
                      <w:pPr>
                        <w:pStyle w:val="0"/>
                        <w:widowControl w:val="1"/>
                        <w:numPr>
                          <w:ilvl w:val="0"/>
                          <w:numId w:val="8"/>
                        </w:numPr>
                        <w:autoSpaceDE w:val="1"/>
                        <w:autoSpaceDN w:val="1"/>
                        <w:adjustRightInd w:val="0"/>
                        <w:snapToGrid w:val="0"/>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L4</w:t>
                      </w:r>
                      <w:r>
                        <w:rPr>
                          <w:rFonts w:hint="eastAsia" w:ascii="ＭＳ Ｐ明朝" w:hAnsi="ＭＳ Ｐ明朝" w:eastAsia="ＭＳ Ｐ明朝"/>
                        </w:rPr>
                        <w:t>移行：　踏切対応と路車協調の進捗で運用効率・安全性を高め、中長期のコスト構造改善に繋げる。</w:t>
                      </w:r>
                    </w:p>
                  </w:txbxContent>
                </v:textbox>
                <v:imagedata o:title=""/>
                <w10:anchorlock/>
              </v:rect>
            </w:pict>
          </mc:Fallback>
        </mc:AlternateContent>
      </w:r>
    </w:p>
    <w:p>
      <w:pPr>
        <w:pStyle w:val="0"/>
        <w:ind w:left="0" w:leftChars="0" w:firstLine="0" w:firstLineChars="0"/>
        <w:rPr>
          <w:rFonts w:hint="eastAsia" w:ascii="ＭＳ Ｐ明朝" w:hAnsi="ＭＳ Ｐ明朝" w:eastAsia="ＭＳ Ｐ明朝"/>
          <w:spacing w:val="-4"/>
        </w:rPr>
      </w:pPr>
    </w:p>
    <w:p>
      <w:pPr>
        <w:pStyle w:val="0"/>
        <w:ind w:left="0" w:leftChars="0" w:firstLine="0" w:firstLineChars="0"/>
        <w:rPr>
          <w:rFonts w:hint="eastAsia" w:ascii="ＭＳ Ｐ明朝" w:hAnsi="ＭＳ Ｐ明朝" w:eastAsia="ＭＳ Ｐ明朝"/>
          <w:spacing w:val="-4"/>
        </w:rPr>
      </w:pPr>
      <w:r>
        <w:rPr>
          <w:rFonts w:hint="eastAsia" w:ascii="ＭＳ Ｐ明朝" w:hAnsi="ＭＳ Ｐ明朝" w:eastAsia="ＭＳ Ｐ明朝"/>
          <w:spacing w:val="-4"/>
        </w:rPr>
        <w:t>■技術面</w:t>
      </w:r>
    </w:p>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eastAsia"/>
        </w:rPr>
        <mc:AlternateContent>
          <mc:Choice Requires="wps">
            <w:drawing>
              <wp:inline distT="0" distB="0" distL="114300" distR="114300">
                <wp:extent cx="6472555" cy="3284855"/>
                <wp:effectExtent l="635" t="635" r="29845" b="10795"/>
                <wp:docPr id="1030" name="正方形/長方形 8"/>
                <a:graphic xmlns:a="http://schemas.openxmlformats.org/drawingml/2006/main">
                  <a:graphicData uri="http://schemas.microsoft.com/office/word/2010/wordprocessingShape">
                    <wps:wsp>
                      <wps:cNvPr id="1030" name="正方形/長方形 8"/>
                      <wps:cNvSpPr/>
                      <wps:spPr>
                        <a:xfrm>
                          <a:off x="0" y="0"/>
                          <a:ext cx="6472555" cy="3284855"/>
                        </a:xfrm>
                        <a:prstGeom prst="rect">
                          <a:avLst/>
                        </a:prstGeom>
                        <a:no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0"/>
                              <w:widowControl w:val="1"/>
                              <w:autoSpaceDE w:val="1"/>
                              <w:autoSpaceDN w:val="1"/>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実証期間の走行データでは、自動運転走行距離は全体の約</w:t>
                            </w:r>
                            <w:r>
                              <w:rPr>
                                <w:rFonts w:hint="eastAsia" w:ascii="ＭＳ Ｐ明朝" w:hAnsi="ＭＳ Ｐ明朝" w:eastAsia="ＭＳ Ｐ明朝"/>
                              </w:rPr>
                              <w:t>80</w:t>
                            </w:r>
                            <w:r>
                              <w:rPr>
                                <w:rFonts w:hint="eastAsia" w:ascii="ＭＳ Ｐ明朝" w:hAnsi="ＭＳ Ｐ明朝" w:eastAsia="ＭＳ Ｐ明朝"/>
                              </w:rPr>
                              <w:t>％を占め、市街地環境下において安定した自動運転が実現できることが確認された。</w:t>
                            </w:r>
                          </w:p>
                          <w:p>
                            <w:pPr>
                              <w:pStyle w:val="0"/>
                              <w:widowControl w:val="1"/>
                              <w:autoSpaceDE w:val="1"/>
                              <w:autoSpaceDN w:val="1"/>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【手動介入の主にな発生状況】</w:t>
                            </w:r>
                          </w:p>
                          <w:p>
                            <w:pPr>
                              <w:pStyle w:val="0"/>
                              <w:widowControl w:val="1"/>
                              <w:numPr>
                                <w:ilvl w:val="0"/>
                                <w:numId w:val="9"/>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路上駐車車両の回避</w:t>
                            </w:r>
                          </w:p>
                          <w:p>
                            <w:pPr>
                              <w:pStyle w:val="0"/>
                              <w:widowControl w:val="1"/>
                              <w:numPr>
                                <w:ilvl w:val="0"/>
                                <w:numId w:val="9"/>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狭隘区間での対向車対応</w:t>
                            </w:r>
                          </w:p>
                          <w:p>
                            <w:pPr>
                              <w:pStyle w:val="0"/>
                              <w:widowControl w:val="1"/>
                              <w:numPr>
                                <w:ilvl w:val="0"/>
                                <w:numId w:val="9"/>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交差点での右左折時</w:t>
                            </w:r>
                          </w:p>
                          <w:p>
                            <w:pPr>
                              <w:pStyle w:val="0"/>
                              <w:widowControl w:val="1"/>
                              <w:numPr>
                                <w:ilvl w:val="0"/>
                                <w:numId w:val="9"/>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歩行者・自転車の回避</w:t>
                            </w:r>
                          </w:p>
                          <w:p>
                            <w:pPr>
                              <w:pStyle w:val="0"/>
                              <w:widowControl w:val="1"/>
                              <w:autoSpaceDE w:val="1"/>
                              <w:autoSpaceDN w:val="1"/>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また、踏切横断の検証では</w:t>
                            </w:r>
                          </w:p>
                          <w:p>
                            <w:pPr>
                              <w:pStyle w:val="0"/>
                              <w:widowControl w:val="1"/>
                              <w:numPr>
                                <w:ilvl w:val="0"/>
                                <w:numId w:val="10"/>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桜前踏切：成功率</w:t>
                            </w:r>
                            <w:r>
                              <w:rPr>
                                <w:rFonts w:hint="eastAsia" w:ascii="ＭＳ Ｐ明朝" w:hAnsi="ＭＳ Ｐ明朝" w:eastAsia="ＭＳ Ｐ明朝"/>
                              </w:rPr>
                              <w:t>98</w:t>
                            </w:r>
                            <w:r>
                              <w:rPr>
                                <w:rFonts w:hint="eastAsia" w:ascii="ＭＳ Ｐ明朝" w:hAnsi="ＭＳ Ｐ明朝" w:eastAsia="ＭＳ Ｐ明朝"/>
                              </w:rPr>
                              <w:t>％</w:t>
                            </w:r>
                          </w:p>
                          <w:p>
                            <w:pPr>
                              <w:pStyle w:val="0"/>
                              <w:widowControl w:val="1"/>
                              <w:numPr>
                                <w:ilvl w:val="0"/>
                                <w:numId w:val="10"/>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第一千葉銚子街道踏切：成功率</w:t>
                            </w:r>
                            <w:r>
                              <w:rPr>
                                <w:rFonts w:hint="eastAsia" w:ascii="ＭＳ Ｐ明朝" w:hAnsi="ＭＳ Ｐ明朝" w:eastAsia="ＭＳ Ｐ明朝"/>
                              </w:rPr>
                              <w:t>72</w:t>
                            </w:r>
                            <w:r>
                              <w:rPr>
                                <w:rFonts w:hint="eastAsia" w:ascii="ＭＳ Ｐ明朝" w:hAnsi="ＭＳ Ｐ明朝" w:eastAsia="ＭＳ Ｐ明朝"/>
                              </w:rPr>
                              <w:t>％</w:t>
                            </w:r>
                          </w:p>
                          <w:p>
                            <w:pPr>
                              <w:pStyle w:val="0"/>
                              <w:spacing w:before="0" w:beforeLines="0" w:beforeAutospacing="0" w:after="0" w:afterLines="0" w:afterAutospacing="0"/>
                              <w:ind w:left="0" w:leftChars="0" w:firstLine="0" w:firstLineChars="0"/>
                              <w:jc w:val="both"/>
                              <w:rPr>
                                <w:rFonts w:hint="eastAsia"/>
                              </w:rPr>
                            </w:pPr>
                            <w:r>
                              <w:rPr>
                                <w:rFonts w:hint="eastAsia" w:ascii="ＭＳ Ｐ明朝" w:hAnsi="ＭＳ Ｐ明朝" w:eastAsia="ＭＳ Ｐ明朝"/>
                              </w:rPr>
                              <w:t>となり、道路幅員や交通環境条件が成功率に大きく影響することが確認された。</w:t>
                            </w:r>
                          </w:p>
                          <w:p>
                            <w:pPr>
                              <w:pStyle w:val="0"/>
                              <w:spacing w:before="0" w:beforeLines="0" w:beforeAutospacing="0" w:after="0" w:afterLines="0" w:afterAutospacing="0"/>
                              <w:ind w:left="0" w:leftChars="0" w:firstLine="0" w:firstLineChars="0"/>
                              <w:jc w:val="both"/>
                              <w:rPr>
                                <w:rFonts w:hint="eastAsia"/>
                              </w:rPr>
                            </w:pPr>
                            <w:r>
                              <w:rPr>
                                <w:rFonts w:hint="eastAsia"/>
                              </w:rPr>
                              <w:t>【課題】</w:t>
                            </w:r>
                          </w:p>
                          <w:p>
                            <w:pPr>
                              <w:pStyle w:val="0"/>
                              <w:spacing w:before="0" w:beforeLines="0" w:beforeAutospacing="0" w:after="0" w:afterLines="0" w:afterAutospacing="0"/>
                              <w:ind w:left="0" w:leftChars="0" w:firstLine="0" w:firstLineChars="0"/>
                              <w:jc w:val="both"/>
                              <w:rPr>
                                <w:rFonts w:hint="eastAsia"/>
                              </w:rPr>
                            </w:pPr>
                            <w:r>
                              <w:rPr>
                                <w:rFonts w:hint="eastAsia"/>
                              </w:rPr>
                              <w:t>・歩行者密集環境での保守的制動、マップ更新コスト、踏切・横断歩道での法令適合とリスク評価、遠隔監視要員スキル標準化</w:t>
                            </w:r>
                          </w:p>
                          <w:p>
                            <w:pPr>
                              <w:pStyle w:val="0"/>
                              <w:spacing w:before="0" w:beforeLines="0" w:beforeAutospacing="0" w:after="0" w:afterLines="0" w:afterAutospacing="0"/>
                              <w:ind w:left="0" w:leftChars="0" w:firstLine="0" w:firstLineChars="0"/>
                              <w:jc w:val="both"/>
                              <w:rPr>
                                <w:rFonts w:hint="eastAsia"/>
                              </w:rPr>
                            </w:pPr>
                            <w:r>
                              <w:rPr>
                                <w:rFonts w:hint="eastAsia"/>
                              </w:rPr>
                              <w:t>【改善策】</w:t>
                            </w:r>
                          </w:p>
                          <w:p>
                            <w:pPr>
                              <w:pStyle w:val="16"/>
                              <w:numPr>
                                <w:ilvl w:val="0"/>
                                <w:numId w:val="11"/>
                              </w:numPr>
                              <w:spacing w:before="0" w:beforeLines="0" w:beforeAutospacing="0" w:after="0" w:afterLines="0" w:afterAutospacing="0"/>
                              <w:ind w:leftChars="0" w:firstLineChars="0"/>
                              <w:jc w:val="both"/>
                              <w:rPr>
                                <w:rFonts w:hint="eastAsia"/>
                              </w:rPr>
                            </w:pPr>
                            <w:r>
                              <w:rPr>
                                <w:rFonts w:hint="eastAsia"/>
                              </w:rPr>
                              <w:t>重点箇所の運用ルール明確化（早期介入基準）と環境調整</w:t>
                            </w:r>
                          </w:p>
                          <w:p>
                            <w:pPr>
                              <w:pStyle w:val="16"/>
                              <w:numPr>
                                <w:ilvl w:val="0"/>
                                <w:numId w:val="11"/>
                              </w:numPr>
                              <w:spacing w:before="0" w:beforeLines="0" w:beforeAutospacing="0" w:after="0" w:afterLines="0" w:afterAutospacing="0"/>
                              <w:ind w:leftChars="0" w:firstLineChars="0"/>
                              <w:jc w:val="both"/>
                              <w:rPr>
                                <w:rFonts w:hint="eastAsia"/>
                              </w:rPr>
                            </w:pPr>
                            <w:r>
                              <w:rPr>
                                <w:rFonts w:hint="eastAsia"/>
                              </w:rPr>
                              <w:t>走行ログに基づく継続的な改善（認識・運用設計）を進め、安全性向上に繋げる。</w:t>
                            </w:r>
                          </w:p>
                          <w:p>
                            <w:pPr>
                              <w:pStyle w:val="0"/>
                              <w:spacing w:before="0" w:beforeLines="0" w:beforeAutospacing="0" w:after="0" w:afterLines="0" w:afterAutospacing="0"/>
                              <w:ind w:left="0" w:leftChars="0" w:firstLine="0" w:firstLineChars="0"/>
                              <w:jc w:val="both"/>
                              <w:rPr>
                                <w:rFonts w:hint="eastAsia"/>
                              </w:rPr>
                            </w:pPr>
                            <w:r>
                              <w:rPr>
                                <w:rFonts w:hint="eastAsia"/>
                              </w:rPr>
                              <w:t>運用設計）を進め、安全性を高める。</w:t>
                            </w:r>
                          </w:p>
                        </w:txbxContent>
                      </wps:txbx>
                      <wps:bodyPr vertOverflow="overflow" horzOverflow="overflow" lIns="180000" tIns="108000" rIns="180000" bIns="108000" anchor="t"/>
                    </wps:wsp>
                  </a:graphicData>
                </a:graphic>
              </wp:inline>
            </w:drawing>
          </mc:Choice>
          <mc:Fallback>
            <w:pict>
              <v:rect id="正方形/長方形 8" style="v-text-anchor:top;height:258.64pt;width:509.65pt;" o:spid="_x0000_s1030" filled="f" stroked="t" strokecolor="#000000 [3213]" strokeweight="0.25pt" o:spt="1">
                <v:fill/>
                <v:stroke linestyle="single" endcap="flat" dashstyle="solid" filltype="solid"/>
                <v:textbox style="layout-flow:horizontal;" inset="4.9999999999999991mm,2.9999999999999996mm,4.9999999999999991mm,2.9999999999999996mm">
                  <w:txbxContent>
                    <w:p>
                      <w:pPr>
                        <w:pStyle w:val="0"/>
                        <w:widowControl w:val="1"/>
                        <w:autoSpaceDE w:val="1"/>
                        <w:autoSpaceDN w:val="1"/>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実証期間の走行データでは、自動運転走行距離は全体の約</w:t>
                      </w:r>
                      <w:r>
                        <w:rPr>
                          <w:rFonts w:hint="eastAsia" w:ascii="ＭＳ Ｐ明朝" w:hAnsi="ＭＳ Ｐ明朝" w:eastAsia="ＭＳ Ｐ明朝"/>
                        </w:rPr>
                        <w:t>80</w:t>
                      </w:r>
                      <w:r>
                        <w:rPr>
                          <w:rFonts w:hint="eastAsia" w:ascii="ＭＳ Ｐ明朝" w:hAnsi="ＭＳ Ｐ明朝" w:eastAsia="ＭＳ Ｐ明朝"/>
                        </w:rPr>
                        <w:t>％を占め、市街地環境下において安定した自動運転が実現できることが確認された。</w:t>
                      </w:r>
                    </w:p>
                    <w:p>
                      <w:pPr>
                        <w:pStyle w:val="0"/>
                        <w:widowControl w:val="1"/>
                        <w:autoSpaceDE w:val="1"/>
                        <w:autoSpaceDN w:val="1"/>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【手動介入の主にな発生状況】</w:t>
                      </w:r>
                    </w:p>
                    <w:p>
                      <w:pPr>
                        <w:pStyle w:val="0"/>
                        <w:widowControl w:val="1"/>
                        <w:numPr>
                          <w:ilvl w:val="0"/>
                          <w:numId w:val="9"/>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路上駐車車両の回避</w:t>
                      </w:r>
                    </w:p>
                    <w:p>
                      <w:pPr>
                        <w:pStyle w:val="0"/>
                        <w:widowControl w:val="1"/>
                        <w:numPr>
                          <w:ilvl w:val="0"/>
                          <w:numId w:val="9"/>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狭隘区間での対向車対応</w:t>
                      </w:r>
                    </w:p>
                    <w:p>
                      <w:pPr>
                        <w:pStyle w:val="0"/>
                        <w:widowControl w:val="1"/>
                        <w:numPr>
                          <w:ilvl w:val="0"/>
                          <w:numId w:val="9"/>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交差点での右左折時</w:t>
                      </w:r>
                    </w:p>
                    <w:p>
                      <w:pPr>
                        <w:pStyle w:val="0"/>
                        <w:widowControl w:val="1"/>
                        <w:numPr>
                          <w:ilvl w:val="0"/>
                          <w:numId w:val="9"/>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歩行者・自転車の回避</w:t>
                      </w:r>
                    </w:p>
                    <w:p>
                      <w:pPr>
                        <w:pStyle w:val="0"/>
                        <w:widowControl w:val="1"/>
                        <w:autoSpaceDE w:val="1"/>
                        <w:autoSpaceDN w:val="1"/>
                        <w:spacing w:before="0" w:beforeLines="0" w:beforeAutospacing="0" w:after="0" w:afterLines="0" w:afterAutospacing="0"/>
                        <w:ind w:left="0" w:leftChars="0" w:firstLine="0" w:firstLineChars="0"/>
                        <w:rPr>
                          <w:rFonts w:hint="eastAsia" w:ascii="ＭＳ Ｐ明朝" w:hAnsi="ＭＳ Ｐ明朝" w:eastAsia="ＭＳ Ｐ明朝"/>
                        </w:rPr>
                      </w:pPr>
                      <w:r>
                        <w:rPr>
                          <w:rFonts w:hint="eastAsia" w:ascii="ＭＳ Ｐ明朝" w:hAnsi="ＭＳ Ｐ明朝" w:eastAsia="ＭＳ Ｐ明朝"/>
                        </w:rPr>
                        <w:t>また、踏切横断の検証では</w:t>
                      </w:r>
                    </w:p>
                    <w:p>
                      <w:pPr>
                        <w:pStyle w:val="0"/>
                        <w:widowControl w:val="1"/>
                        <w:numPr>
                          <w:ilvl w:val="0"/>
                          <w:numId w:val="10"/>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桜前踏切：成功率</w:t>
                      </w:r>
                      <w:r>
                        <w:rPr>
                          <w:rFonts w:hint="eastAsia" w:ascii="ＭＳ Ｐ明朝" w:hAnsi="ＭＳ Ｐ明朝" w:eastAsia="ＭＳ Ｐ明朝"/>
                        </w:rPr>
                        <w:t>98</w:t>
                      </w:r>
                      <w:r>
                        <w:rPr>
                          <w:rFonts w:hint="eastAsia" w:ascii="ＭＳ Ｐ明朝" w:hAnsi="ＭＳ Ｐ明朝" w:eastAsia="ＭＳ Ｐ明朝"/>
                        </w:rPr>
                        <w:t>％</w:t>
                      </w:r>
                    </w:p>
                    <w:p>
                      <w:pPr>
                        <w:pStyle w:val="0"/>
                        <w:widowControl w:val="1"/>
                        <w:numPr>
                          <w:ilvl w:val="0"/>
                          <w:numId w:val="10"/>
                        </w:numPr>
                        <w:autoSpaceDE w:val="1"/>
                        <w:autoSpaceDN w:val="1"/>
                        <w:spacing w:before="0" w:beforeLines="0" w:beforeAutospacing="0" w:after="0" w:afterLines="0" w:afterAutospacing="0"/>
                        <w:ind w:leftChars="0" w:firstLineChars="0"/>
                        <w:rPr>
                          <w:rFonts w:hint="eastAsia" w:ascii="ＭＳ Ｐ明朝" w:hAnsi="ＭＳ Ｐ明朝" w:eastAsia="ＭＳ Ｐ明朝"/>
                        </w:rPr>
                      </w:pPr>
                      <w:r>
                        <w:rPr>
                          <w:rFonts w:hint="eastAsia" w:ascii="ＭＳ Ｐ明朝" w:hAnsi="ＭＳ Ｐ明朝" w:eastAsia="ＭＳ Ｐ明朝"/>
                        </w:rPr>
                        <w:t>第一千葉銚子街道踏切：成功率</w:t>
                      </w:r>
                      <w:r>
                        <w:rPr>
                          <w:rFonts w:hint="eastAsia" w:ascii="ＭＳ Ｐ明朝" w:hAnsi="ＭＳ Ｐ明朝" w:eastAsia="ＭＳ Ｐ明朝"/>
                        </w:rPr>
                        <w:t>72</w:t>
                      </w:r>
                      <w:r>
                        <w:rPr>
                          <w:rFonts w:hint="eastAsia" w:ascii="ＭＳ Ｐ明朝" w:hAnsi="ＭＳ Ｐ明朝" w:eastAsia="ＭＳ Ｐ明朝"/>
                        </w:rPr>
                        <w:t>％</w:t>
                      </w:r>
                    </w:p>
                    <w:p>
                      <w:pPr>
                        <w:pStyle w:val="0"/>
                        <w:spacing w:before="0" w:beforeLines="0" w:beforeAutospacing="0" w:after="0" w:afterLines="0" w:afterAutospacing="0"/>
                        <w:ind w:left="0" w:leftChars="0" w:firstLine="0" w:firstLineChars="0"/>
                        <w:jc w:val="both"/>
                        <w:rPr>
                          <w:rFonts w:hint="eastAsia"/>
                        </w:rPr>
                      </w:pPr>
                      <w:r>
                        <w:rPr>
                          <w:rFonts w:hint="eastAsia" w:ascii="ＭＳ Ｐ明朝" w:hAnsi="ＭＳ Ｐ明朝" w:eastAsia="ＭＳ Ｐ明朝"/>
                        </w:rPr>
                        <w:t>となり、道路幅員や交通環境条件が成功率に大きく影響することが確認された。</w:t>
                      </w:r>
                    </w:p>
                    <w:p>
                      <w:pPr>
                        <w:pStyle w:val="0"/>
                        <w:spacing w:before="0" w:beforeLines="0" w:beforeAutospacing="0" w:after="0" w:afterLines="0" w:afterAutospacing="0"/>
                        <w:ind w:left="0" w:leftChars="0" w:firstLine="0" w:firstLineChars="0"/>
                        <w:jc w:val="both"/>
                        <w:rPr>
                          <w:rFonts w:hint="eastAsia"/>
                        </w:rPr>
                      </w:pPr>
                      <w:r>
                        <w:rPr>
                          <w:rFonts w:hint="eastAsia"/>
                        </w:rPr>
                        <w:t>【課題】</w:t>
                      </w:r>
                    </w:p>
                    <w:p>
                      <w:pPr>
                        <w:pStyle w:val="0"/>
                        <w:spacing w:before="0" w:beforeLines="0" w:beforeAutospacing="0" w:after="0" w:afterLines="0" w:afterAutospacing="0"/>
                        <w:ind w:left="0" w:leftChars="0" w:firstLine="0" w:firstLineChars="0"/>
                        <w:jc w:val="both"/>
                        <w:rPr>
                          <w:rFonts w:hint="eastAsia"/>
                        </w:rPr>
                      </w:pPr>
                      <w:r>
                        <w:rPr>
                          <w:rFonts w:hint="eastAsia"/>
                        </w:rPr>
                        <w:t>・歩行者密集環境での保守的制動、マップ更新コスト、踏切・横断歩道での法令適合とリスク評価、遠隔監視要員スキル標準化</w:t>
                      </w:r>
                    </w:p>
                    <w:p>
                      <w:pPr>
                        <w:pStyle w:val="0"/>
                        <w:spacing w:before="0" w:beforeLines="0" w:beforeAutospacing="0" w:after="0" w:afterLines="0" w:afterAutospacing="0"/>
                        <w:ind w:left="0" w:leftChars="0" w:firstLine="0" w:firstLineChars="0"/>
                        <w:jc w:val="both"/>
                        <w:rPr>
                          <w:rFonts w:hint="eastAsia"/>
                        </w:rPr>
                      </w:pPr>
                      <w:r>
                        <w:rPr>
                          <w:rFonts w:hint="eastAsia"/>
                        </w:rPr>
                        <w:t>【改善策】</w:t>
                      </w:r>
                    </w:p>
                    <w:p>
                      <w:pPr>
                        <w:pStyle w:val="16"/>
                        <w:numPr>
                          <w:ilvl w:val="0"/>
                          <w:numId w:val="11"/>
                        </w:numPr>
                        <w:spacing w:before="0" w:beforeLines="0" w:beforeAutospacing="0" w:after="0" w:afterLines="0" w:afterAutospacing="0"/>
                        <w:ind w:leftChars="0" w:firstLineChars="0"/>
                        <w:jc w:val="both"/>
                        <w:rPr>
                          <w:rFonts w:hint="eastAsia"/>
                        </w:rPr>
                      </w:pPr>
                      <w:r>
                        <w:rPr>
                          <w:rFonts w:hint="eastAsia"/>
                        </w:rPr>
                        <w:t>重点箇所の運用ルール明確化（早期介入基準）と環境調整</w:t>
                      </w:r>
                    </w:p>
                    <w:p>
                      <w:pPr>
                        <w:pStyle w:val="16"/>
                        <w:numPr>
                          <w:ilvl w:val="0"/>
                          <w:numId w:val="11"/>
                        </w:numPr>
                        <w:spacing w:before="0" w:beforeLines="0" w:beforeAutospacing="0" w:after="0" w:afterLines="0" w:afterAutospacing="0"/>
                        <w:ind w:leftChars="0" w:firstLineChars="0"/>
                        <w:jc w:val="both"/>
                        <w:rPr>
                          <w:rFonts w:hint="eastAsia"/>
                        </w:rPr>
                      </w:pPr>
                      <w:r>
                        <w:rPr>
                          <w:rFonts w:hint="eastAsia"/>
                        </w:rPr>
                        <w:t>走行ログに基づく継続的な改善（認識・運用設計）を進め、安全性向上に繋げる。</w:t>
                      </w:r>
                    </w:p>
                    <w:p>
                      <w:pPr>
                        <w:pStyle w:val="0"/>
                        <w:spacing w:before="0" w:beforeLines="0" w:beforeAutospacing="0" w:after="0" w:afterLines="0" w:afterAutospacing="0"/>
                        <w:ind w:left="0" w:leftChars="0" w:firstLine="0" w:firstLineChars="0"/>
                        <w:jc w:val="both"/>
                        <w:rPr>
                          <w:rFonts w:hint="eastAsia"/>
                        </w:rPr>
                      </w:pPr>
                      <w:r>
                        <w:rPr>
                          <w:rFonts w:hint="eastAsia"/>
                        </w:rPr>
                        <w:t>運用設計）を進め、安全性を高める。</w:t>
                      </w:r>
                    </w:p>
                  </w:txbxContent>
                </v:textbox>
                <v:imagedata o:title=""/>
                <w10:anchorlock/>
              </v:rect>
            </w:pict>
          </mc:Fallback>
        </mc:AlternateContent>
      </w:r>
    </w:p>
    <w:p>
      <w:pPr>
        <w:pStyle w:val="0"/>
        <w:ind w:left="0" w:leftChars="0" w:firstLine="0" w:firstLineChars="0"/>
        <w:rPr>
          <w:rFonts w:hint="eastAsia" w:ascii="ＭＳ Ｐ明朝" w:hAnsi="ＭＳ Ｐ明朝" w:eastAsia="ＭＳ Ｐ明朝"/>
          <w:spacing w:val="-4"/>
        </w:rPr>
      </w:pPr>
    </w:p>
    <w:p>
      <w:pPr>
        <w:pStyle w:val="0"/>
        <w:ind w:left="0" w:leftChars="0" w:firstLine="0" w:firstLineChars="0"/>
        <w:rPr>
          <w:rFonts w:hint="eastAsia" w:ascii="ＭＳ Ｐ明朝" w:hAnsi="ＭＳ Ｐ明朝" w:eastAsia="ＭＳ Ｐ明朝"/>
          <w:spacing w:val="-4"/>
        </w:rPr>
      </w:pPr>
      <w:r>
        <w:rPr>
          <w:rFonts w:hint="eastAsia" w:ascii="ＭＳ Ｐ明朝" w:hAnsi="ＭＳ Ｐ明朝" w:eastAsia="ＭＳ Ｐ明朝"/>
          <w:spacing w:val="-4"/>
        </w:rPr>
        <w:t>■社会受容性面</w:t>
      </w:r>
    </w:p>
    <w:p>
      <w:pPr>
        <w:pStyle w:val="0"/>
        <w:widowControl w:val="1"/>
        <w:autoSpaceDE w:val="1"/>
        <w:autoSpaceDN w:val="1"/>
        <w:spacing w:before="100" w:beforeLines="0" w:beforeAutospacing="1" w:after="100" w:afterLines="0" w:afterAutospacing="1"/>
        <w:ind w:left="0" w:leftChars="0" w:firstLine="0" w:firstLineChars="0"/>
        <w:rPr>
          <w:rFonts w:hint="eastAsia" w:ascii="ＭＳ Ｐ明朝" w:hAnsi="ＭＳ Ｐ明朝" w:eastAsia="ＭＳ Ｐ明朝"/>
        </w:rPr>
      </w:pPr>
      <w:r>
        <w:rPr>
          <w:rFonts w:hint="default" w:ascii="ＭＳ 明朝" w:hAnsi="ＭＳ 明朝" w:eastAsia="ＭＳ 明朝"/>
        </w:rPr>
        <mc:AlternateContent>
          <mc:Choice Requires="wps">
            <w:drawing>
              <wp:inline distT="0" distB="0" distL="114300" distR="114300">
                <wp:extent cx="6472555" cy="3002915"/>
                <wp:effectExtent l="635" t="635" r="29845" b="10795"/>
                <wp:docPr id="1031" name="正方形/長方形 8"/>
                <a:graphic xmlns:a="http://schemas.openxmlformats.org/drawingml/2006/main">
                  <a:graphicData uri="http://schemas.microsoft.com/office/word/2010/wordprocessingShape">
                    <wps:wsp>
                      <wps:cNvPr id="1031" name="正方形/長方形 8"/>
                      <wps:cNvSpPr/>
                      <wps:spPr>
                        <a:xfrm>
                          <a:off x="0" y="0"/>
                          <a:ext cx="6472555" cy="3002915"/>
                        </a:xfrm>
                        <a:prstGeom prst="rect">
                          <a:avLst/>
                        </a:prstGeom>
                        <a:no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0"/>
                              <w:widowControl w:val="1"/>
                              <w:autoSpaceDE w:val="1"/>
                              <w:autoSpaceDN w:val="1"/>
                              <w:spacing w:before="0" w:beforeLines="0" w:beforeAutospacing="0" w:after="0" w:afterLines="0" w:afterAutospacing="0"/>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実証期間中に</w:t>
                            </w:r>
                            <w:r>
                              <w:rPr>
                                <w:rFonts w:hint="eastAsia" w:ascii="ＭＳ Ｐ明朝" w:hAnsi="ＭＳ Ｐ明朝" w:eastAsia="ＭＳ Ｐ明朝"/>
                                <w:b w:val="1"/>
                              </w:rPr>
                              <w:t>事故は発生しておらず</w:t>
                            </w:r>
                            <w:r>
                              <w:rPr>
                                <w:rFonts w:hint="eastAsia" w:ascii="ＭＳ Ｐ明朝" w:hAnsi="ＭＳ Ｐ明朝" w:eastAsia="ＭＳ Ｐ明朝"/>
                              </w:rPr>
                              <w:t>、自動運転システムの安全性が確認された。</w:t>
                            </w:r>
                          </w:p>
                          <w:p>
                            <w:pPr>
                              <w:pStyle w:val="0"/>
                              <w:widowControl w:val="1"/>
                              <w:autoSpaceDE w:val="1"/>
                              <w:autoSpaceDN w:val="1"/>
                              <w:spacing w:before="0" w:beforeLines="0" w:beforeAutospacing="0" w:after="0" w:afterLines="0" w:afterAutospacing="0"/>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ヒヤリハット事例は確認されたものの、交差点付近の突発挙動など特定の交通環境に起因するものであり、重点箇所の監視強化および早期介入基準の明確化により対応可能であることが整理された。</w:t>
                            </w:r>
                          </w:p>
                          <w:p>
                            <w:pPr>
                              <w:pStyle w:val="0"/>
                              <w:widowControl w:val="1"/>
                              <w:autoSpaceDE w:val="1"/>
                              <w:autoSpaceDN w:val="1"/>
                              <w:spacing w:before="0" w:beforeLines="0" w:beforeAutospacing="0" w:after="0" w:afterLines="0" w:afterAutospacing="0"/>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また、学校連携による出張授業を実施し、敬愛高校でのアンケート結果では</w:t>
                            </w:r>
                          </w:p>
                          <w:p>
                            <w:pPr>
                              <w:pStyle w:val="0"/>
                              <w:widowControl w:val="1"/>
                              <w:numPr>
                                <w:ilvl w:val="0"/>
                                <w:numId w:val="12"/>
                              </w:numPr>
                              <w:autoSpaceDE w:val="1"/>
                              <w:autoSpaceDN w:val="1"/>
                              <w:spacing w:before="0" w:beforeLines="0" w:beforeAutospacing="0" w:after="0" w:afterLines="0" w:afterAutospacing="0"/>
                              <w:ind w:leftChars="0" w:firstLineChars="0"/>
                              <w:jc w:val="left"/>
                              <w:rPr>
                                <w:rFonts w:hint="eastAsia" w:ascii="ＭＳ Ｐ明朝" w:hAnsi="ＭＳ Ｐ明朝" w:eastAsia="ＭＳ Ｐ明朝"/>
                              </w:rPr>
                            </w:pPr>
                            <w:r>
                              <w:rPr>
                                <w:rFonts w:hint="eastAsia" w:ascii="ＭＳ Ｐ明朝" w:hAnsi="ＭＳ Ｐ明朝" w:eastAsia="ＭＳ Ｐ明朝"/>
                              </w:rPr>
                              <w:t>授業理解度：</w:t>
                            </w:r>
                            <w:r>
                              <w:rPr>
                                <w:rFonts w:hint="eastAsia" w:ascii="ＭＳ Ｐ明朝" w:hAnsi="ＭＳ Ｐ明朝" w:eastAsia="ＭＳ Ｐ明朝"/>
                              </w:rPr>
                              <w:t>97.6%</w:t>
                            </w:r>
                          </w:p>
                          <w:p>
                            <w:pPr>
                              <w:pStyle w:val="0"/>
                              <w:widowControl w:val="1"/>
                              <w:numPr>
                                <w:ilvl w:val="0"/>
                                <w:numId w:val="12"/>
                              </w:numPr>
                              <w:autoSpaceDE w:val="1"/>
                              <w:autoSpaceDN w:val="1"/>
                              <w:spacing w:before="0" w:beforeLines="0" w:beforeAutospacing="0" w:after="0" w:afterLines="0" w:afterAutospacing="0"/>
                              <w:ind w:leftChars="0" w:firstLineChars="0"/>
                              <w:jc w:val="left"/>
                              <w:rPr>
                                <w:rFonts w:hint="eastAsia" w:ascii="ＭＳ Ｐ明朝" w:hAnsi="ＭＳ Ｐ明朝" w:eastAsia="ＭＳ Ｐ明朝"/>
                              </w:rPr>
                            </w:pPr>
                            <w:r>
                              <w:rPr>
                                <w:rFonts w:hint="eastAsia" w:ascii="ＭＳ Ｐ明朝" w:hAnsi="ＭＳ Ｐ明朝" w:eastAsia="ＭＳ Ｐ明朝"/>
                              </w:rPr>
                              <w:t>自動運転理解向上：</w:t>
                            </w:r>
                            <w:r>
                              <w:rPr>
                                <w:rFonts w:hint="eastAsia" w:ascii="ＭＳ Ｐ明朝" w:hAnsi="ＭＳ Ｐ明朝" w:eastAsia="ＭＳ Ｐ明朝"/>
                              </w:rPr>
                              <w:t>97.6%</w:t>
                            </w:r>
                          </w:p>
                          <w:p>
                            <w:pPr>
                              <w:pStyle w:val="0"/>
                              <w:widowControl w:val="1"/>
                              <w:numPr>
                                <w:ilvl w:val="0"/>
                                <w:numId w:val="12"/>
                              </w:numPr>
                              <w:autoSpaceDE w:val="1"/>
                              <w:autoSpaceDN w:val="1"/>
                              <w:spacing w:before="0" w:beforeLines="0" w:beforeAutospacing="0" w:after="0" w:afterLines="0" w:afterAutospacing="0"/>
                              <w:ind w:leftChars="0" w:firstLineChars="0"/>
                              <w:jc w:val="left"/>
                              <w:rPr>
                                <w:rFonts w:hint="eastAsia" w:ascii="ＭＳ Ｐ明朝" w:hAnsi="ＭＳ Ｐ明朝" w:eastAsia="ＭＳ Ｐ明朝"/>
                              </w:rPr>
                            </w:pPr>
                            <w:r>
                              <w:rPr>
                                <w:rFonts w:hint="eastAsia" w:ascii="ＭＳ Ｐ明朝" w:hAnsi="ＭＳ Ｐ明朝" w:eastAsia="ＭＳ Ｐ明朝"/>
                              </w:rPr>
                              <w:t>自動運転バス利用意向：</w:t>
                            </w:r>
                            <w:r>
                              <w:rPr>
                                <w:rFonts w:hint="eastAsia" w:ascii="ＭＳ Ｐ明朝" w:hAnsi="ＭＳ Ｐ明朝" w:eastAsia="ＭＳ Ｐ明朝"/>
                              </w:rPr>
                              <w:t>85.4%</w:t>
                            </w:r>
                          </w:p>
                          <w:p>
                            <w:pPr>
                              <w:pStyle w:val="0"/>
                              <w:spacing w:before="0" w:beforeLines="0" w:beforeAutospacing="0" w:after="0" w:afterLines="0" w:afterAutospacing="0"/>
                              <w:ind w:left="0" w:leftChars="0" w:firstLine="0" w:firstLineChars="0"/>
                              <w:jc w:val="left"/>
                              <w:rPr>
                                <w:rFonts w:hint="eastAsia"/>
                              </w:rPr>
                            </w:pPr>
                            <w:r>
                              <w:rPr>
                                <w:rFonts w:hint="eastAsia" w:ascii="ＭＳ Ｐ明朝" w:hAnsi="ＭＳ Ｐ明朝" w:eastAsia="ＭＳ Ｐ明朝"/>
                              </w:rPr>
                              <w:t>となり、若年層の理解促進に大きな効果が確認された。</w:t>
                            </w:r>
                          </w:p>
                          <w:p>
                            <w:pPr>
                              <w:pStyle w:val="0"/>
                              <w:spacing w:before="0" w:beforeLines="0" w:beforeAutospacing="0" w:after="0" w:afterLines="0" w:afterAutospacing="0"/>
                              <w:ind w:left="0" w:leftChars="0" w:firstLine="0" w:firstLineChars="0"/>
                              <w:jc w:val="left"/>
                              <w:rPr>
                                <w:rFonts w:hint="eastAsia"/>
                              </w:rPr>
                            </w:pPr>
                            <w:r>
                              <w:rPr>
                                <w:rFonts w:hint="eastAsia"/>
                              </w:rPr>
                              <w:t>【現状と反応】</w:t>
                            </w:r>
                          </w:p>
                          <w:p>
                            <w:pPr>
                              <w:pStyle w:val="0"/>
                              <w:spacing w:before="0" w:beforeLines="0" w:beforeAutospacing="0" w:after="0" w:afterLines="0" w:afterAutospacing="0"/>
                              <w:ind w:left="0" w:leftChars="0" w:firstLine="0" w:firstLineChars="0"/>
                              <w:jc w:val="left"/>
                              <w:rPr>
                                <w:rFonts w:hint="eastAsia"/>
                              </w:rPr>
                            </w:pPr>
                            <w:r>
                              <w:rPr>
                                <w:rFonts w:hint="eastAsia"/>
                              </w:rPr>
                              <w:t>通年運行と</w:t>
                            </w:r>
                            <w:r>
                              <w:rPr>
                                <w:rFonts w:hint="eastAsia"/>
                              </w:rPr>
                              <w:t>10</w:t>
                            </w:r>
                            <w:r>
                              <w:rPr>
                                <w:rFonts w:hint="eastAsia"/>
                              </w:rPr>
                              <w:t>月のダイヤ見直し後、利便性評価は改善傾向。高齢者や学生を中心に認知が拡大。安全面のヒヤリハットは手順に沿い共有・再発防止を実施している。</w:t>
                            </w:r>
                          </w:p>
                          <w:p>
                            <w:pPr>
                              <w:pStyle w:val="0"/>
                              <w:spacing w:before="0" w:beforeLines="0" w:beforeAutospacing="0" w:after="0" w:afterLines="0" w:afterAutospacing="0"/>
                              <w:ind w:left="0" w:leftChars="0" w:firstLine="0" w:firstLineChars="0"/>
                              <w:jc w:val="left"/>
                              <w:rPr>
                                <w:rFonts w:hint="eastAsia"/>
                              </w:rPr>
                            </w:pPr>
                            <w:r>
                              <w:rPr>
                                <w:rFonts w:hint="eastAsia"/>
                              </w:rPr>
                              <w:t>【課題】</w:t>
                            </w:r>
                          </w:p>
                          <w:p>
                            <w:pPr>
                              <w:pStyle w:val="0"/>
                              <w:spacing w:before="0" w:beforeLines="0" w:beforeAutospacing="0" w:after="0" w:afterLines="0" w:afterAutospacing="0"/>
                              <w:ind w:left="0" w:leftChars="0" w:firstLine="0" w:firstLineChars="0"/>
                              <w:jc w:val="left"/>
                              <w:rPr>
                                <w:rFonts w:hint="eastAsia"/>
                              </w:rPr>
                            </w:pPr>
                            <w:r>
                              <w:rPr>
                                <w:rFonts w:hint="eastAsia"/>
                              </w:rPr>
                              <w:t>無料から有料化時の受容と需要の検証</w:t>
                            </w:r>
                          </w:p>
                          <w:p>
                            <w:pPr>
                              <w:pStyle w:val="0"/>
                              <w:spacing w:before="0" w:beforeLines="0" w:beforeAutospacing="0" w:after="0" w:afterLines="0" w:afterAutospacing="0"/>
                              <w:ind w:left="0" w:leftChars="0" w:firstLine="0" w:firstLineChars="0"/>
                              <w:jc w:val="left"/>
                              <w:rPr>
                                <w:rFonts w:hint="eastAsia"/>
                              </w:rPr>
                            </w:pPr>
                            <w:r>
                              <w:rPr>
                                <w:rFonts w:hint="eastAsia"/>
                              </w:rPr>
                              <w:t>バリアフリー</w:t>
                            </w:r>
                            <w:r>
                              <w:rPr>
                                <w:rFonts w:hint="eastAsia"/>
                              </w:rPr>
                              <w:t>/</w:t>
                            </w:r>
                            <w:r>
                              <w:rPr>
                                <w:rFonts w:hint="eastAsia"/>
                              </w:rPr>
                              <w:t>ベビーカー対応</w:t>
                            </w:r>
                          </w:p>
                          <w:p>
                            <w:pPr>
                              <w:pStyle w:val="0"/>
                              <w:spacing w:before="0" w:beforeLines="0" w:beforeAutospacing="0" w:after="0" w:afterLines="0" w:afterAutospacing="0"/>
                              <w:ind w:left="0" w:leftChars="0" w:firstLine="0" w:firstLineChars="0"/>
                              <w:jc w:val="left"/>
                              <w:rPr>
                                <w:rFonts w:hint="eastAsia"/>
                              </w:rPr>
                            </w:pPr>
                            <w:r>
                              <w:rPr>
                                <w:rFonts w:hint="eastAsia"/>
                              </w:rPr>
                              <w:t>医療・商業施設など目的地での時刻整合</w:t>
                            </w:r>
                          </w:p>
                        </w:txbxContent>
                      </wps:txbx>
                      <wps:bodyPr vertOverflow="overflow" horzOverflow="overflow" lIns="180000" tIns="108000" rIns="180000" bIns="108000" anchor="t"/>
                    </wps:wsp>
                  </a:graphicData>
                </a:graphic>
              </wp:inline>
            </w:drawing>
          </mc:Choice>
          <mc:Fallback>
            <w:pict>
              <v:rect id="正方形/長方形 8" style="v-text-anchor:top;height:236.45pt;width:509.65pt;" o:spid="_x0000_s1031" filled="f" stroked="t" strokecolor="#000000 [3213]" strokeweight="0.25pt" o:spt="1">
                <v:fill/>
                <v:stroke linestyle="single" endcap="flat" dashstyle="solid" filltype="solid"/>
                <v:textbox style="layout-flow:horizontal;" inset="4.9999999999999991mm,2.9999999999999996mm,4.9999999999999991mm,2.9999999999999996mm">
                  <w:txbxContent>
                    <w:p>
                      <w:pPr>
                        <w:pStyle w:val="0"/>
                        <w:widowControl w:val="1"/>
                        <w:autoSpaceDE w:val="1"/>
                        <w:autoSpaceDN w:val="1"/>
                        <w:spacing w:before="0" w:beforeLines="0" w:beforeAutospacing="0" w:after="0" w:afterLines="0" w:afterAutospacing="0"/>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実証期間中に</w:t>
                      </w:r>
                      <w:r>
                        <w:rPr>
                          <w:rFonts w:hint="eastAsia" w:ascii="ＭＳ Ｐ明朝" w:hAnsi="ＭＳ Ｐ明朝" w:eastAsia="ＭＳ Ｐ明朝"/>
                          <w:b w:val="1"/>
                        </w:rPr>
                        <w:t>事故は発生しておらず</w:t>
                      </w:r>
                      <w:r>
                        <w:rPr>
                          <w:rFonts w:hint="eastAsia" w:ascii="ＭＳ Ｐ明朝" w:hAnsi="ＭＳ Ｐ明朝" w:eastAsia="ＭＳ Ｐ明朝"/>
                        </w:rPr>
                        <w:t>、自動運転システムの安全性が確認された。</w:t>
                      </w:r>
                    </w:p>
                    <w:p>
                      <w:pPr>
                        <w:pStyle w:val="0"/>
                        <w:widowControl w:val="1"/>
                        <w:autoSpaceDE w:val="1"/>
                        <w:autoSpaceDN w:val="1"/>
                        <w:spacing w:before="0" w:beforeLines="0" w:beforeAutospacing="0" w:after="0" w:afterLines="0" w:afterAutospacing="0"/>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ヒヤリハット事例は確認されたものの、交差点付近の突発挙動など特定の交通環境に起因するものであり、重点箇所の監視強化および早期介入基準の明確化により対応可能であることが整理された。</w:t>
                      </w:r>
                    </w:p>
                    <w:p>
                      <w:pPr>
                        <w:pStyle w:val="0"/>
                        <w:widowControl w:val="1"/>
                        <w:autoSpaceDE w:val="1"/>
                        <w:autoSpaceDN w:val="1"/>
                        <w:spacing w:before="0" w:beforeLines="0" w:beforeAutospacing="0" w:after="0" w:afterLines="0" w:afterAutospacing="0"/>
                        <w:ind w:left="0" w:leftChars="0" w:firstLine="0" w:firstLineChars="0"/>
                        <w:jc w:val="left"/>
                        <w:rPr>
                          <w:rFonts w:hint="eastAsia" w:ascii="ＭＳ Ｐ明朝" w:hAnsi="ＭＳ Ｐ明朝" w:eastAsia="ＭＳ Ｐ明朝"/>
                        </w:rPr>
                      </w:pPr>
                      <w:r>
                        <w:rPr>
                          <w:rFonts w:hint="eastAsia" w:ascii="ＭＳ Ｐ明朝" w:hAnsi="ＭＳ Ｐ明朝" w:eastAsia="ＭＳ Ｐ明朝"/>
                        </w:rPr>
                        <w:t>また、学校連携による出張授業を実施し、敬愛高校でのアンケート結果では</w:t>
                      </w:r>
                    </w:p>
                    <w:p>
                      <w:pPr>
                        <w:pStyle w:val="0"/>
                        <w:widowControl w:val="1"/>
                        <w:numPr>
                          <w:ilvl w:val="0"/>
                          <w:numId w:val="12"/>
                        </w:numPr>
                        <w:autoSpaceDE w:val="1"/>
                        <w:autoSpaceDN w:val="1"/>
                        <w:spacing w:before="0" w:beforeLines="0" w:beforeAutospacing="0" w:after="0" w:afterLines="0" w:afterAutospacing="0"/>
                        <w:ind w:leftChars="0" w:firstLineChars="0"/>
                        <w:jc w:val="left"/>
                        <w:rPr>
                          <w:rFonts w:hint="eastAsia" w:ascii="ＭＳ Ｐ明朝" w:hAnsi="ＭＳ Ｐ明朝" w:eastAsia="ＭＳ Ｐ明朝"/>
                        </w:rPr>
                      </w:pPr>
                      <w:r>
                        <w:rPr>
                          <w:rFonts w:hint="eastAsia" w:ascii="ＭＳ Ｐ明朝" w:hAnsi="ＭＳ Ｐ明朝" w:eastAsia="ＭＳ Ｐ明朝"/>
                        </w:rPr>
                        <w:t>授業理解度：</w:t>
                      </w:r>
                      <w:r>
                        <w:rPr>
                          <w:rFonts w:hint="eastAsia" w:ascii="ＭＳ Ｐ明朝" w:hAnsi="ＭＳ Ｐ明朝" w:eastAsia="ＭＳ Ｐ明朝"/>
                        </w:rPr>
                        <w:t>97.6%</w:t>
                      </w:r>
                    </w:p>
                    <w:p>
                      <w:pPr>
                        <w:pStyle w:val="0"/>
                        <w:widowControl w:val="1"/>
                        <w:numPr>
                          <w:ilvl w:val="0"/>
                          <w:numId w:val="12"/>
                        </w:numPr>
                        <w:autoSpaceDE w:val="1"/>
                        <w:autoSpaceDN w:val="1"/>
                        <w:spacing w:before="0" w:beforeLines="0" w:beforeAutospacing="0" w:after="0" w:afterLines="0" w:afterAutospacing="0"/>
                        <w:ind w:leftChars="0" w:firstLineChars="0"/>
                        <w:jc w:val="left"/>
                        <w:rPr>
                          <w:rFonts w:hint="eastAsia" w:ascii="ＭＳ Ｐ明朝" w:hAnsi="ＭＳ Ｐ明朝" w:eastAsia="ＭＳ Ｐ明朝"/>
                        </w:rPr>
                      </w:pPr>
                      <w:r>
                        <w:rPr>
                          <w:rFonts w:hint="eastAsia" w:ascii="ＭＳ Ｐ明朝" w:hAnsi="ＭＳ Ｐ明朝" w:eastAsia="ＭＳ Ｐ明朝"/>
                        </w:rPr>
                        <w:t>自動運転理解向上：</w:t>
                      </w:r>
                      <w:r>
                        <w:rPr>
                          <w:rFonts w:hint="eastAsia" w:ascii="ＭＳ Ｐ明朝" w:hAnsi="ＭＳ Ｐ明朝" w:eastAsia="ＭＳ Ｐ明朝"/>
                        </w:rPr>
                        <w:t>97.6%</w:t>
                      </w:r>
                    </w:p>
                    <w:p>
                      <w:pPr>
                        <w:pStyle w:val="0"/>
                        <w:widowControl w:val="1"/>
                        <w:numPr>
                          <w:ilvl w:val="0"/>
                          <w:numId w:val="12"/>
                        </w:numPr>
                        <w:autoSpaceDE w:val="1"/>
                        <w:autoSpaceDN w:val="1"/>
                        <w:spacing w:before="0" w:beforeLines="0" w:beforeAutospacing="0" w:after="0" w:afterLines="0" w:afterAutospacing="0"/>
                        <w:ind w:leftChars="0" w:firstLineChars="0"/>
                        <w:jc w:val="left"/>
                        <w:rPr>
                          <w:rFonts w:hint="eastAsia" w:ascii="ＭＳ Ｐ明朝" w:hAnsi="ＭＳ Ｐ明朝" w:eastAsia="ＭＳ Ｐ明朝"/>
                        </w:rPr>
                      </w:pPr>
                      <w:r>
                        <w:rPr>
                          <w:rFonts w:hint="eastAsia" w:ascii="ＭＳ Ｐ明朝" w:hAnsi="ＭＳ Ｐ明朝" w:eastAsia="ＭＳ Ｐ明朝"/>
                        </w:rPr>
                        <w:t>自動運転バス利用意向：</w:t>
                      </w:r>
                      <w:r>
                        <w:rPr>
                          <w:rFonts w:hint="eastAsia" w:ascii="ＭＳ Ｐ明朝" w:hAnsi="ＭＳ Ｐ明朝" w:eastAsia="ＭＳ Ｐ明朝"/>
                        </w:rPr>
                        <w:t>85.4%</w:t>
                      </w:r>
                    </w:p>
                    <w:p>
                      <w:pPr>
                        <w:pStyle w:val="0"/>
                        <w:spacing w:before="0" w:beforeLines="0" w:beforeAutospacing="0" w:after="0" w:afterLines="0" w:afterAutospacing="0"/>
                        <w:ind w:left="0" w:leftChars="0" w:firstLine="0" w:firstLineChars="0"/>
                        <w:jc w:val="left"/>
                        <w:rPr>
                          <w:rFonts w:hint="eastAsia"/>
                        </w:rPr>
                      </w:pPr>
                      <w:r>
                        <w:rPr>
                          <w:rFonts w:hint="eastAsia" w:ascii="ＭＳ Ｐ明朝" w:hAnsi="ＭＳ Ｐ明朝" w:eastAsia="ＭＳ Ｐ明朝"/>
                        </w:rPr>
                        <w:t>となり、若年層の理解促進に大きな効果が確認された。</w:t>
                      </w:r>
                    </w:p>
                    <w:p>
                      <w:pPr>
                        <w:pStyle w:val="0"/>
                        <w:spacing w:before="0" w:beforeLines="0" w:beforeAutospacing="0" w:after="0" w:afterLines="0" w:afterAutospacing="0"/>
                        <w:ind w:left="0" w:leftChars="0" w:firstLine="0" w:firstLineChars="0"/>
                        <w:jc w:val="left"/>
                        <w:rPr>
                          <w:rFonts w:hint="eastAsia"/>
                        </w:rPr>
                      </w:pPr>
                      <w:r>
                        <w:rPr>
                          <w:rFonts w:hint="eastAsia"/>
                        </w:rPr>
                        <w:t>【現状と反応】</w:t>
                      </w:r>
                    </w:p>
                    <w:p>
                      <w:pPr>
                        <w:pStyle w:val="0"/>
                        <w:spacing w:before="0" w:beforeLines="0" w:beforeAutospacing="0" w:after="0" w:afterLines="0" w:afterAutospacing="0"/>
                        <w:ind w:left="0" w:leftChars="0" w:firstLine="0" w:firstLineChars="0"/>
                        <w:jc w:val="left"/>
                        <w:rPr>
                          <w:rFonts w:hint="eastAsia"/>
                        </w:rPr>
                      </w:pPr>
                      <w:r>
                        <w:rPr>
                          <w:rFonts w:hint="eastAsia"/>
                        </w:rPr>
                        <w:t>通年運行と</w:t>
                      </w:r>
                      <w:r>
                        <w:rPr>
                          <w:rFonts w:hint="eastAsia"/>
                        </w:rPr>
                        <w:t>10</w:t>
                      </w:r>
                      <w:r>
                        <w:rPr>
                          <w:rFonts w:hint="eastAsia"/>
                        </w:rPr>
                        <w:t>月のダイヤ見直し後、利便性評価は改善傾向。高齢者や学生を中心に認知が拡大。安全面のヒヤリハットは手順に沿い共有・再発防止を実施している。</w:t>
                      </w:r>
                    </w:p>
                    <w:p>
                      <w:pPr>
                        <w:pStyle w:val="0"/>
                        <w:spacing w:before="0" w:beforeLines="0" w:beforeAutospacing="0" w:after="0" w:afterLines="0" w:afterAutospacing="0"/>
                        <w:ind w:left="0" w:leftChars="0" w:firstLine="0" w:firstLineChars="0"/>
                        <w:jc w:val="left"/>
                        <w:rPr>
                          <w:rFonts w:hint="eastAsia"/>
                        </w:rPr>
                      </w:pPr>
                      <w:r>
                        <w:rPr>
                          <w:rFonts w:hint="eastAsia"/>
                        </w:rPr>
                        <w:t>【課題】</w:t>
                      </w:r>
                    </w:p>
                    <w:p>
                      <w:pPr>
                        <w:pStyle w:val="0"/>
                        <w:spacing w:before="0" w:beforeLines="0" w:beforeAutospacing="0" w:after="0" w:afterLines="0" w:afterAutospacing="0"/>
                        <w:ind w:left="0" w:leftChars="0" w:firstLine="0" w:firstLineChars="0"/>
                        <w:jc w:val="left"/>
                        <w:rPr>
                          <w:rFonts w:hint="eastAsia"/>
                        </w:rPr>
                      </w:pPr>
                      <w:r>
                        <w:rPr>
                          <w:rFonts w:hint="eastAsia"/>
                        </w:rPr>
                        <w:t>無料から有料化時の受容と需要の検証</w:t>
                      </w:r>
                    </w:p>
                    <w:p>
                      <w:pPr>
                        <w:pStyle w:val="0"/>
                        <w:spacing w:before="0" w:beforeLines="0" w:beforeAutospacing="0" w:after="0" w:afterLines="0" w:afterAutospacing="0"/>
                        <w:ind w:left="0" w:leftChars="0" w:firstLine="0" w:firstLineChars="0"/>
                        <w:jc w:val="left"/>
                        <w:rPr>
                          <w:rFonts w:hint="eastAsia"/>
                        </w:rPr>
                      </w:pPr>
                      <w:r>
                        <w:rPr>
                          <w:rFonts w:hint="eastAsia"/>
                        </w:rPr>
                        <w:t>バリアフリー</w:t>
                      </w:r>
                      <w:r>
                        <w:rPr>
                          <w:rFonts w:hint="eastAsia"/>
                        </w:rPr>
                        <w:t>/</w:t>
                      </w:r>
                      <w:r>
                        <w:rPr>
                          <w:rFonts w:hint="eastAsia"/>
                        </w:rPr>
                        <w:t>ベビーカー対応</w:t>
                      </w:r>
                    </w:p>
                    <w:p>
                      <w:pPr>
                        <w:pStyle w:val="0"/>
                        <w:spacing w:before="0" w:beforeLines="0" w:beforeAutospacing="0" w:after="0" w:afterLines="0" w:afterAutospacing="0"/>
                        <w:ind w:left="0" w:leftChars="0" w:firstLine="0" w:firstLineChars="0"/>
                        <w:jc w:val="left"/>
                        <w:rPr>
                          <w:rFonts w:hint="eastAsia"/>
                        </w:rPr>
                      </w:pPr>
                      <w:r>
                        <w:rPr>
                          <w:rFonts w:hint="eastAsia"/>
                        </w:rPr>
                        <w:t>医療・商業施設など目的地での時刻整合</w:t>
                      </w:r>
                    </w:p>
                  </w:txbxContent>
                </v:textbox>
                <v:imagedata o:title=""/>
                <w10:anchorlock/>
              </v:rect>
            </w:pict>
          </mc:Fallback>
        </mc:AlternateContent>
      </w:r>
    </w:p>
    <w:p>
      <w:pPr>
        <w:pStyle w:val="43"/>
        <w:ind w:left="0" w:leftChars="0" w:firstLine="0" w:firstLineChars="0"/>
        <w:rPr>
          <w:rFonts w:hint="eastAsia" w:ascii="ＭＳ Ｐ明朝" w:hAnsi="ＭＳ Ｐ明朝" w:eastAsia="ＭＳ Ｐ明朝"/>
          <w:sz w:val="22"/>
        </w:rPr>
      </w:pPr>
      <w:r>
        <w:rPr>
          <w:rFonts w:hint="eastAsia"/>
        </w:rPr>
        <mc:AlternateContent>
          <mc:Choice Requires="wps">
            <w:drawing>
              <wp:anchor distT="0" distB="0" distL="114300" distR="114300" simplePos="0" relativeHeight="8" behindDoc="0" locked="0" layoutInCell="1" hidden="0" allowOverlap="1">
                <wp:simplePos x="0" y="0"/>
                <wp:positionH relativeFrom="column">
                  <wp:posOffset>0</wp:posOffset>
                </wp:positionH>
                <wp:positionV relativeFrom="paragraph">
                  <wp:posOffset>20955</wp:posOffset>
                </wp:positionV>
                <wp:extent cx="6472555" cy="2661285"/>
                <wp:effectExtent l="635" t="635" r="29845" b="10795"/>
                <wp:wrapNone/>
                <wp:docPr id="1032" name="正方形/長方形 8"/>
                <a:graphic xmlns:a="http://schemas.openxmlformats.org/drawingml/2006/main">
                  <a:graphicData uri="http://schemas.microsoft.com/office/word/2010/wordprocessingShape">
                    <wps:wsp>
                      <wps:cNvPr id="1032" name="正方形/長方形 8"/>
                      <wps:cNvSpPr/>
                      <wps:spPr>
                        <a:xfrm>
                          <a:off x="0" y="0"/>
                          <a:ext cx="6472555" cy="2661285"/>
                        </a:xfrm>
                        <a:prstGeom prst="rect">
                          <a:avLst/>
                        </a:prstGeom>
                        <a:no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0"/>
                              <w:ind w:left="0" w:leftChars="0" w:firstLine="0" w:firstLineChars="0"/>
                              <w:rPr>
                                <w:rFonts w:hint="eastAsia" w:ascii="ＭＳ Ｐ明朝" w:hAnsi="ＭＳ Ｐ明朝" w:eastAsia="ＭＳ Ｐ明朝"/>
                                <w:sz w:val="24"/>
                              </w:rPr>
                            </w:pPr>
                            <w:r>
                              <w:rPr>
                                <w:rFonts w:hint="eastAsia" w:ascii="ＭＳ Ｐ明朝" w:hAnsi="ＭＳ Ｐ明朝" w:eastAsia="ＭＳ Ｐ明朝"/>
                                <w:sz w:val="24"/>
                              </w:rPr>
                              <w:t>【総括】</w:t>
                            </w:r>
                          </w:p>
                          <w:p>
                            <w:pPr>
                              <w:pStyle w:val="0"/>
                              <w:ind w:left="0" w:leftChars="0" w:firstLine="0" w:firstLineChars="0"/>
                              <w:rPr>
                                <w:rFonts w:hint="eastAsia" w:ascii="ＭＳ Ｐ明朝" w:hAnsi="ＭＳ Ｐ明朝" w:eastAsia="ＭＳ Ｐ明朝"/>
                                <w:sz w:val="24"/>
                              </w:rPr>
                            </w:pPr>
                            <w:r>
                              <w:rPr>
                                <w:rFonts w:hint="eastAsia" w:ascii="ＭＳ Ｐ明朝" w:hAnsi="ＭＳ Ｐ明朝" w:eastAsia="ＭＳ Ｐ明朝"/>
                                <w:sz w:val="24"/>
                              </w:rPr>
                              <w:t>横芝光町の自動運転社会実装実証は、人口減少・高齢化とドライバー不足への対応、空港機能強化を見据えた持続可能な交通の確立を目的に、</w:t>
                            </w:r>
                            <w:r>
                              <w:rPr>
                                <w:rFonts w:hint="eastAsia" w:ascii="ＭＳ Ｐ明朝" w:hAnsi="ＭＳ Ｐ明朝" w:eastAsia="ＭＳ Ｐ明朝"/>
                                <w:sz w:val="24"/>
                              </w:rPr>
                              <w:t>L2</w:t>
                            </w:r>
                            <w:r>
                              <w:rPr>
                                <w:rFonts w:hint="eastAsia" w:ascii="ＭＳ Ｐ明朝" w:hAnsi="ＭＳ Ｐ明朝" w:eastAsia="ＭＳ Ｐ明朝"/>
                                <w:sz w:val="24"/>
                              </w:rPr>
                              <w:t>の</w:t>
                            </w:r>
                            <w:r>
                              <w:rPr>
                                <w:rFonts w:hint="eastAsia" w:ascii="ＭＳ Ｐ明朝" w:hAnsi="ＭＳ Ｐ明朝" w:eastAsia="ＭＳ Ｐ明朝"/>
                                <w:sz w:val="24"/>
                              </w:rPr>
                              <w:t>EV</w:t>
                            </w:r>
                            <w:r>
                              <w:rPr>
                                <w:rFonts w:hint="eastAsia" w:ascii="ＭＳ Ｐ明朝" w:hAnsi="ＭＳ Ｐ明朝" w:eastAsia="ＭＳ Ｐ明朝"/>
                                <w:sz w:val="24"/>
                              </w:rPr>
                              <w:t>バスで通年運行を実施。利用者は</w:t>
                            </w:r>
                            <w:r>
                              <w:rPr>
                                <w:rFonts w:hint="eastAsia" w:ascii="ＭＳ Ｐ明朝" w:hAnsi="ＭＳ Ｐ明朝" w:eastAsia="ＭＳ Ｐ明朝"/>
                                <w:sz w:val="24"/>
                              </w:rPr>
                              <w:t>2,084</w:t>
                            </w:r>
                            <w:r>
                              <w:rPr>
                                <w:rFonts w:hint="eastAsia" w:ascii="ＭＳ Ｐ明朝" w:hAnsi="ＭＳ Ｐ明朝" w:eastAsia="ＭＳ Ｐ明朝"/>
                                <w:sz w:val="24"/>
                              </w:rPr>
                              <w:t>人（前年比</w:t>
                            </w:r>
                            <w:r>
                              <w:rPr>
                                <w:rFonts w:hint="eastAsia" w:ascii="ＭＳ Ｐ明朝" w:hAnsi="ＭＳ Ｐ明朝" w:eastAsia="ＭＳ Ｐ明朝"/>
                                <w:sz w:val="24"/>
                              </w:rPr>
                              <w:t>+6.5</w:t>
                            </w:r>
                            <w:r>
                              <w:rPr>
                                <w:rFonts w:hint="eastAsia" w:ascii="ＭＳ Ｐ明朝" w:hAnsi="ＭＳ Ｐ明朝" w:eastAsia="ＭＳ Ｐ明朝"/>
                                <w:sz w:val="24"/>
                              </w:rPr>
                              <w:t>％）に増加し、</w:t>
                            </w:r>
                            <w:r>
                              <w:rPr>
                                <w:rFonts w:hint="eastAsia" w:ascii="ＭＳ Ｐ明朝" w:hAnsi="ＭＳ Ｐ明朝" w:eastAsia="ＭＳ Ｐ明朝"/>
                                <w:b w:val="0"/>
                                <w:sz w:val="24"/>
                              </w:rPr>
                              <w:t>CO</w:t>
                            </w:r>
                            <w:r>
                              <w:rPr>
                                <w:rFonts w:hint="eastAsia" w:ascii="ＭＳ Ｐ明朝" w:hAnsi="ＭＳ Ｐ明朝" w:eastAsia="ＭＳ Ｐ明朝"/>
                                <w:b w:val="0"/>
                                <w:sz w:val="24"/>
                              </w:rPr>
                              <w:t>₂</w:t>
                            </w:r>
                            <w:r>
                              <w:rPr>
                                <w:rFonts w:hint="eastAsia" w:ascii="ＭＳ Ｐ明朝" w:hAnsi="ＭＳ Ｐ明朝" w:eastAsia="ＭＳ Ｐ明朝"/>
                                <w:sz w:val="24"/>
                              </w:rPr>
                              <w:t>はディーゼル比約</w:t>
                            </w:r>
                            <w:r>
                              <w:rPr>
                                <w:rFonts w:hint="eastAsia" w:ascii="ＭＳ Ｐ明朝" w:hAnsi="ＭＳ Ｐ明朝" w:eastAsia="ＭＳ Ｐ明朝"/>
                                <w:sz w:val="24"/>
                              </w:rPr>
                              <w:t>43</w:t>
                            </w:r>
                            <w:r>
                              <w:rPr>
                                <w:rFonts w:hint="eastAsia" w:ascii="ＭＳ Ｐ明朝" w:hAnsi="ＭＳ Ｐ明朝" w:eastAsia="ＭＳ Ｐ明朝"/>
                                <w:sz w:val="24"/>
                              </w:rPr>
                              <w:t>％削減。自動運転率は約</w:t>
                            </w:r>
                            <w:r>
                              <w:rPr>
                                <w:rFonts w:hint="eastAsia" w:ascii="ＭＳ Ｐ明朝" w:hAnsi="ＭＳ Ｐ明朝" w:eastAsia="ＭＳ Ｐ明朝"/>
                                <w:sz w:val="24"/>
                              </w:rPr>
                              <w:t>80</w:t>
                            </w:r>
                            <w:r>
                              <w:rPr>
                                <w:rFonts w:hint="eastAsia" w:ascii="ＭＳ Ｐ明朝" w:hAnsi="ＭＳ Ｐ明朝" w:eastAsia="ＭＳ Ｐ明朝"/>
                                <w:sz w:val="24"/>
                              </w:rPr>
                              <w:t>％、踏切は箇所で成功率に差（</w:t>
                            </w:r>
                            <w:r>
                              <w:rPr>
                                <w:rFonts w:hint="eastAsia" w:ascii="ＭＳ Ｐ明朝" w:hAnsi="ＭＳ Ｐ明朝" w:eastAsia="ＭＳ Ｐ明朝"/>
                                <w:sz w:val="24"/>
                              </w:rPr>
                              <w:t>98</w:t>
                            </w:r>
                            <w:r>
                              <w:rPr>
                                <w:rFonts w:hint="eastAsia" w:ascii="ＭＳ Ｐ明朝" w:hAnsi="ＭＳ Ｐ明朝" w:eastAsia="ＭＳ Ｐ明朝"/>
                                <w:sz w:val="24"/>
                              </w:rPr>
                              <w:t>％／</w:t>
                            </w:r>
                            <w:r>
                              <w:rPr>
                                <w:rFonts w:hint="eastAsia" w:ascii="ＭＳ Ｐ明朝" w:hAnsi="ＭＳ Ｐ明朝" w:eastAsia="ＭＳ Ｐ明朝"/>
                                <w:sz w:val="24"/>
                              </w:rPr>
                              <w:t>72</w:t>
                            </w:r>
                            <w:r>
                              <w:rPr>
                                <w:rFonts w:hint="eastAsia" w:ascii="ＭＳ Ｐ明朝" w:hAnsi="ＭＳ Ｐ明朝" w:eastAsia="ＭＳ Ｐ明朝"/>
                                <w:sz w:val="24"/>
                              </w:rPr>
                              <w:t>％</w:t>
                            </w:r>
                          </w:p>
                          <w:p>
                            <w:pPr>
                              <w:pStyle w:val="0"/>
                              <w:ind w:left="0" w:leftChars="0" w:firstLine="0" w:firstLineChars="0"/>
                              <w:rPr>
                                <w:rFonts w:hint="eastAsia" w:ascii="ＭＳ Ｐ明朝" w:hAnsi="ＭＳ Ｐ明朝" w:eastAsia="ＭＳ Ｐ明朝"/>
                                <w:sz w:val="24"/>
                              </w:rPr>
                            </w:pPr>
                            <w:bookmarkStart w:id="1" w:name="_GoBack"/>
                            <w:bookmarkEnd w:id="1"/>
                            <w:r>
                              <w:rPr>
                                <w:rFonts w:hint="eastAsia" w:ascii="ＭＳ Ｐ明朝" w:hAnsi="ＭＳ Ｐ明朝" w:eastAsia="ＭＳ Ｐ明朝"/>
                                <w:sz w:val="24"/>
                              </w:rPr>
                              <w:t>）があった。</w:t>
                            </w:r>
                          </w:p>
                          <w:p>
                            <w:pPr>
                              <w:pStyle w:val="0"/>
                              <w:ind w:left="0" w:leftChars="0" w:firstLine="0" w:firstLineChars="0"/>
                              <w:rPr>
                                <w:rFonts w:hint="eastAsia" w:ascii="ＭＳ Ｐ明朝" w:hAnsi="ＭＳ Ｐ明朝" w:eastAsia="ＭＳ Ｐ明朝"/>
                                <w:sz w:val="24"/>
                              </w:rPr>
                            </w:pPr>
                            <w:r>
                              <w:rPr>
                                <w:rFonts w:hint="eastAsia" w:ascii="ＭＳ Ｐ明朝" w:hAnsi="ＭＳ Ｐ明朝" w:eastAsia="ＭＳ Ｐ明朝"/>
                                <w:sz w:val="24"/>
                              </w:rPr>
                              <w:t>実証期間中、無事故で安全性・受容性の向上を確認した。一方、収入ゼロで補助金依存が継続し、停留所・時間帯別の需要把握、有料化時の需要検証、バリアフリー対応が課題である。通学時間帯の運行開始により学生の理解向上、利用意向と若年層から利用拡大も確認できた。</w:t>
                            </w:r>
                          </w:p>
                          <w:p>
                            <w:pPr>
                              <w:pStyle w:val="0"/>
                              <w:ind w:left="0" w:leftChars="0" w:firstLine="0" w:firstLineChars="0"/>
                              <w:rPr>
                                <w:rFonts w:hint="eastAsia" w:ascii="ＭＳ Ｐ明朝" w:hAnsi="ＭＳ Ｐ明朝" w:eastAsia="ＭＳ Ｐ明朝"/>
                                <w:sz w:val="24"/>
                              </w:rPr>
                            </w:pPr>
                            <w:r>
                              <w:rPr>
                                <w:rFonts w:hint="eastAsia" w:ascii="ＭＳ Ｐ明朝" w:hAnsi="ＭＳ Ｐ明朝" w:eastAsia="ＭＳ Ｐ明朝"/>
                                <w:sz w:val="24"/>
                              </w:rPr>
                              <w:t>今後は１：Ｎ遠隔監視や充電最適化、段階的運賃導入、運行ダイヤの最適化、踏切対応と路車協調を強化し、</w:t>
                            </w:r>
                            <w:r>
                              <w:rPr>
                                <w:rFonts w:hint="eastAsia" w:ascii="ＭＳ Ｐ明朝" w:hAnsi="ＭＳ Ｐ明朝" w:eastAsia="ＭＳ Ｐ明朝"/>
                                <w:sz w:val="24"/>
                              </w:rPr>
                              <w:t>L4</w:t>
                            </w:r>
                            <w:r>
                              <w:rPr>
                                <w:rFonts w:hint="eastAsia" w:ascii="ＭＳ Ｐ明朝" w:hAnsi="ＭＳ Ｐ明朝" w:eastAsia="ＭＳ Ｐ明朝"/>
                                <w:sz w:val="24"/>
                              </w:rPr>
                              <w:t>移行とコスト構造改善、空港圏の人流増に応じたネットワーク形成を検証する。</w:t>
                            </w:r>
                          </w:p>
                          <w:p>
                            <w:pPr>
                              <w:pStyle w:val="0"/>
                              <w:ind w:left="0" w:leftChars="0" w:firstLine="0" w:firstLineChars="0"/>
                              <w:rPr>
                                <w:rFonts w:hint="eastAsia" w:ascii="ＭＳ Ｐ明朝" w:hAnsi="ＭＳ Ｐ明朝" w:eastAsia="ＭＳ Ｐ明朝"/>
                                <w:sz w:val="24"/>
                              </w:rPr>
                            </w:pPr>
                          </w:p>
                          <w:p>
                            <w:pPr>
                              <w:pStyle w:val="0"/>
                              <w:jc w:val="center"/>
                              <w:rPr>
                                <w:rFonts w:hint="eastAsia" w:ascii="ＭＳ Ｐ明朝" w:hAnsi="ＭＳ Ｐ明朝" w:eastAsia="ＭＳ Ｐ明朝"/>
                                <w:sz w:val="24"/>
                              </w:rPr>
                            </w:pPr>
                          </w:p>
                        </w:txbxContent>
                      </wps:txbx>
                      <wps:bodyPr vertOverflow="overflow" horzOverflow="overflow" lIns="180000" tIns="108000" rIns="180000" bIns="108000" anchor="t"/>
                    </wps:wsp>
                  </a:graphicData>
                </a:graphic>
              </wp:anchor>
            </w:drawing>
          </mc:Choice>
          <mc:Fallback>
            <w:pict>
              <v:rect id="正方形/長方形 8" style="mso-wrap-distance-right:9pt;mso-wrap-distance-bottom:0pt;margin-top:1.65pt;mso-position-vertical-relative:text;mso-position-horizontal-relative:text;v-text-anchor:top;position:absolute;height:209.55pt;mso-wrap-distance-top:0pt;width:509.65pt;mso-wrap-distance-left:9pt;margin-left:0pt;z-index:8;" o:spid="_x0000_s1032" o:allowincell="t" o:allowoverlap="t" filled="f" stroked="t" strokecolor="#000000 [3213]" strokeweight="0.25pt" o:spt="1">
                <v:fill/>
                <v:stroke linestyle="single" endcap="flat" dashstyle="solid" filltype="solid"/>
                <v:textbox style="layout-flow:horizontal;" inset="4.9999999999999991mm,2.9999999999999996mm,4.9999999999999991mm,2.9999999999999996mm">
                  <w:txbxContent>
                    <w:p>
                      <w:pPr>
                        <w:pStyle w:val="0"/>
                        <w:ind w:left="0" w:leftChars="0" w:firstLine="0" w:firstLineChars="0"/>
                        <w:rPr>
                          <w:rFonts w:hint="eastAsia" w:ascii="ＭＳ Ｐ明朝" w:hAnsi="ＭＳ Ｐ明朝" w:eastAsia="ＭＳ Ｐ明朝"/>
                          <w:sz w:val="24"/>
                        </w:rPr>
                      </w:pPr>
                      <w:r>
                        <w:rPr>
                          <w:rFonts w:hint="eastAsia" w:ascii="ＭＳ Ｐ明朝" w:hAnsi="ＭＳ Ｐ明朝" w:eastAsia="ＭＳ Ｐ明朝"/>
                          <w:sz w:val="24"/>
                        </w:rPr>
                        <w:t>【総括】</w:t>
                      </w:r>
                    </w:p>
                    <w:p>
                      <w:pPr>
                        <w:pStyle w:val="0"/>
                        <w:ind w:left="0" w:leftChars="0" w:firstLine="0" w:firstLineChars="0"/>
                        <w:rPr>
                          <w:rFonts w:hint="eastAsia" w:ascii="ＭＳ Ｐ明朝" w:hAnsi="ＭＳ Ｐ明朝" w:eastAsia="ＭＳ Ｐ明朝"/>
                          <w:sz w:val="24"/>
                        </w:rPr>
                      </w:pPr>
                      <w:r>
                        <w:rPr>
                          <w:rFonts w:hint="eastAsia" w:ascii="ＭＳ Ｐ明朝" w:hAnsi="ＭＳ Ｐ明朝" w:eastAsia="ＭＳ Ｐ明朝"/>
                          <w:sz w:val="24"/>
                        </w:rPr>
                        <w:t>横芝光町の自動運転社会実装実証は、人口減少・高齢化とドライバー不足への対応、空港機能強化を見据えた持続可能な交通の確立を目的に、</w:t>
                      </w:r>
                      <w:r>
                        <w:rPr>
                          <w:rFonts w:hint="eastAsia" w:ascii="ＭＳ Ｐ明朝" w:hAnsi="ＭＳ Ｐ明朝" w:eastAsia="ＭＳ Ｐ明朝"/>
                          <w:sz w:val="24"/>
                        </w:rPr>
                        <w:t>L2</w:t>
                      </w:r>
                      <w:r>
                        <w:rPr>
                          <w:rFonts w:hint="eastAsia" w:ascii="ＭＳ Ｐ明朝" w:hAnsi="ＭＳ Ｐ明朝" w:eastAsia="ＭＳ Ｐ明朝"/>
                          <w:sz w:val="24"/>
                        </w:rPr>
                        <w:t>の</w:t>
                      </w:r>
                      <w:r>
                        <w:rPr>
                          <w:rFonts w:hint="eastAsia" w:ascii="ＭＳ Ｐ明朝" w:hAnsi="ＭＳ Ｐ明朝" w:eastAsia="ＭＳ Ｐ明朝"/>
                          <w:sz w:val="24"/>
                        </w:rPr>
                        <w:t>EV</w:t>
                      </w:r>
                      <w:r>
                        <w:rPr>
                          <w:rFonts w:hint="eastAsia" w:ascii="ＭＳ Ｐ明朝" w:hAnsi="ＭＳ Ｐ明朝" w:eastAsia="ＭＳ Ｐ明朝"/>
                          <w:sz w:val="24"/>
                        </w:rPr>
                        <w:t>バスで通年運行を実施。利用者は</w:t>
                      </w:r>
                      <w:r>
                        <w:rPr>
                          <w:rFonts w:hint="eastAsia" w:ascii="ＭＳ Ｐ明朝" w:hAnsi="ＭＳ Ｐ明朝" w:eastAsia="ＭＳ Ｐ明朝"/>
                          <w:sz w:val="24"/>
                        </w:rPr>
                        <w:t>2,084</w:t>
                      </w:r>
                      <w:r>
                        <w:rPr>
                          <w:rFonts w:hint="eastAsia" w:ascii="ＭＳ Ｐ明朝" w:hAnsi="ＭＳ Ｐ明朝" w:eastAsia="ＭＳ Ｐ明朝"/>
                          <w:sz w:val="24"/>
                        </w:rPr>
                        <w:t>人（前年比</w:t>
                      </w:r>
                      <w:r>
                        <w:rPr>
                          <w:rFonts w:hint="eastAsia" w:ascii="ＭＳ Ｐ明朝" w:hAnsi="ＭＳ Ｐ明朝" w:eastAsia="ＭＳ Ｐ明朝"/>
                          <w:sz w:val="24"/>
                        </w:rPr>
                        <w:t>+6.5</w:t>
                      </w:r>
                      <w:r>
                        <w:rPr>
                          <w:rFonts w:hint="eastAsia" w:ascii="ＭＳ Ｐ明朝" w:hAnsi="ＭＳ Ｐ明朝" w:eastAsia="ＭＳ Ｐ明朝"/>
                          <w:sz w:val="24"/>
                        </w:rPr>
                        <w:t>％）に増加し、</w:t>
                      </w:r>
                      <w:r>
                        <w:rPr>
                          <w:rFonts w:hint="eastAsia" w:ascii="ＭＳ Ｐ明朝" w:hAnsi="ＭＳ Ｐ明朝" w:eastAsia="ＭＳ Ｐ明朝"/>
                          <w:b w:val="0"/>
                          <w:sz w:val="24"/>
                        </w:rPr>
                        <w:t>CO</w:t>
                      </w:r>
                      <w:r>
                        <w:rPr>
                          <w:rFonts w:hint="eastAsia" w:ascii="ＭＳ Ｐ明朝" w:hAnsi="ＭＳ Ｐ明朝" w:eastAsia="ＭＳ Ｐ明朝"/>
                          <w:b w:val="0"/>
                          <w:sz w:val="24"/>
                        </w:rPr>
                        <w:t>₂</w:t>
                      </w:r>
                      <w:r>
                        <w:rPr>
                          <w:rFonts w:hint="eastAsia" w:ascii="ＭＳ Ｐ明朝" w:hAnsi="ＭＳ Ｐ明朝" w:eastAsia="ＭＳ Ｐ明朝"/>
                          <w:sz w:val="24"/>
                        </w:rPr>
                        <w:t>はディーゼル比約</w:t>
                      </w:r>
                      <w:r>
                        <w:rPr>
                          <w:rFonts w:hint="eastAsia" w:ascii="ＭＳ Ｐ明朝" w:hAnsi="ＭＳ Ｐ明朝" w:eastAsia="ＭＳ Ｐ明朝"/>
                          <w:sz w:val="24"/>
                        </w:rPr>
                        <w:t>43</w:t>
                      </w:r>
                      <w:r>
                        <w:rPr>
                          <w:rFonts w:hint="eastAsia" w:ascii="ＭＳ Ｐ明朝" w:hAnsi="ＭＳ Ｐ明朝" w:eastAsia="ＭＳ Ｐ明朝"/>
                          <w:sz w:val="24"/>
                        </w:rPr>
                        <w:t>％削減。自動運転率は約</w:t>
                      </w:r>
                      <w:r>
                        <w:rPr>
                          <w:rFonts w:hint="eastAsia" w:ascii="ＭＳ Ｐ明朝" w:hAnsi="ＭＳ Ｐ明朝" w:eastAsia="ＭＳ Ｐ明朝"/>
                          <w:sz w:val="24"/>
                        </w:rPr>
                        <w:t>80</w:t>
                      </w:r>
                      <w:r>
                        <w:rPr>
                          <w:rFonts w:hint="eastAsia" w:ascii="ＭＳ Ｐ明朝" w:hAnsi="ＭＳ Ｐ明朝" w:eastAsia="ＭＳ Ｐ明朝"/>
                          <w:sz w:val="24"/>
                        </w:rPr>
                        <w:t>％、踏切は箇所で成功率に差（</w:t>
                      </w:r>
                      <w:r>
                        <w:rPr>
                          <w:rFonts w:hint="eastAsia" w:ascii="ＭＳ Ｐ明朝" w:hAnsi="ＭＳ Ｐ明朝" w:eastAsia="ＭＳ Ｐ明朝"/>
                          <w:sz w:val="24"/>
                        </w:rPr>
                        <w:t>98</w:t>
                      </w:r>
                      <w:r>
                        <w:rPr>
                          <w:rFonts w:hint="eastAsia" w:ascii="ＭＳ Ｐ明朝" w:hAnsi="ＭＳ Ｐ明朝" w:eastAsia="ＭＳ Ｐ明朝"/>
                          <w:sz w:val="24"/>
                        </w:rPr>
                        <w:t>％／</w:t>
                      </w:r>
                      <w:r>
                        <w:rPr>
                          <w:rFonts w:hint="eastAsia" w:ascii="ＭＳ Ｐ明朝" w:hAnsi="ＭＳ Ｐ明朝" w:eastAsia="ＭＳ Ｐ明朝"/>
                          <w:sz w:val="24"/>
                        </w:rPr>
                        <w:t>72</w:t>
                      </w:r>
                      <w:r>
                        <w:rPr>
                          <w:rFonts w:hint="eastAsia" w:ascii="ＭＳ Ｐ明朝" w:hAnsi="ＭＳ Ｐ明朝" w:eastAsia="ＭＳ Ｐ明朝"/>
                          <w:sz w:val="24"/>
                        </w:rPr>
                        <w:t>％</w:t>
                      </w:r>
                    </w:p>
                    <w:p>
                      <w:pPr>
                        <w:pStyle w:val="0"/>
                        <w:ind w:left="0" w:leftChars="0" w:firstLine="0" w:firstLineChars="0"/>
                        <w:rPr>
                          <w:rFonts w:hint="eastAsia" w:ascii="ＭＳ Ｐ明朝" w:hAnsi="ＭＳ Ｐ明朝" w:eastAsia="ＭＳ Ｐ明朝"/>
                          <w:sz w:val="24"/>
                        </w:rPr>
                      </w:pPr>
                      <w:bookmarkStart w:id="2" w:name="_GoBack"/>
                      <w:bookmarkEnd w:id="2"/>
                      <w:r>
                        <w:rPr>
                          <w:rFonts w:hint="eastAsia" w:ascii="ＭＳ Ｐ明朝" w:hAnsi="ＭＳ Ｐ明朝" w:eastAsia="ＭＳ Ｐ明朝"/>
                          <w:sz w:val="24"/>
                        </w:rPr>
                        <w:t>）があった。</w:t>
                      </w:r>
                    </w:p>
                    <w:p>
                      <w:pPr>
                        <w:pStyle w:val="0"/>
                        <w:ind w:left="0" w:leftChars="0" w:firstLine="0" w:firstLineChars="0"/>
                        <w:rPr>
                          <w:rFonts w:hint="eastAsia" w:ascii="ＭＳ Ｐ明朝" w:hAnsi="ＭＳ Ｐ明朝" w:eastAsia="ＭＳ Ｐ明朝"/>
                          <w:sz w:val="24"/>
                        </w:rPr>
                      </w:pPr>
                      <w:r>
                        <w:rPr>
                          <w:rFonts w:hint="eastAsia" w:ascii="ＭＳ Ｐ明朝" w:hAnsi="ＭＳ Ｐ明朝" w:eastAsia="ＭＳ Ｐ明朝"/>
                          <w:sz w:val="24"/>
                        </w:rPr>
                        <w:t>実証期間中、無事故で安全性・受容性の向上を確認した。一方、収入ゼロで補助金依存が継続し、停留所・時間帯別の需要把握、有料化時の需要検証、バリアフリー対応が課題である。通学時間帯の運行開始により学生の理解向上、利用意向と若年層から利用拡大も確認できた。</w:t>
                      </w:r>
                    </w:p>
                    <w:p>
                      <w:pPr>
                        <w:pStyle w:val="0"/>
                        <w:ind w:left="0" w:leftChars="0" w:firstLine="0" w:firstLineChars="0"/>
                        <w:rPr>
                          <w:rFonts w:hint="eastAsia" w:ascii="ＭＳ Ｐ明朝" w:hAnsi="ＭＳ Ｐ明朝" w:eastAsia="ＭＳ Ｐ明朝"/>
                          <w:sz w:val="24"/>
                        </w:rPr>
                      </w:pPr>
                      <w:r>
                        <w:rPr>
                          <w:rFonts w:hint="eastAsia" w:ascii="ＭＳ Ｐ明朝" w:hAnsi="ＭＳ Ｐ明朝" w:eastAsia="ＭＳ Ｐ明朝"/>
                          <w:sz w:val="24"/>
                        </w:rPr>
                        <w:t>今後は１：Ｎ遠隔監視や充電最適化、段階的運賃導入、運行ダイヤの最適化、踏切対応と路車協調を強化し、</w:t>
                      </w:r>
                      <w:r>
                        <w:rPr>
                          <w:rFonts w:hint="eastAsia" w:ascii="ＭＳ Ｐ明朝" w:hAnsi="ＭＳ Ｐ明朝" w:eastAsia="ＭＳ Ｐ明朝"/>
                          <w:sz w:val="24"/>
                        </w:rPr>
                        <w:t>L4</w:t>
                      </w:r>
                      <w:r>
                        <w:rPr>
                          <w:rFonts w:hint="eastAsia" w:ascii="ＭＳ Ｐ明朝" w:hAnsi="ＭＳ Ｐ明朝" w:eastAsia="ＭＳ Ｐ明朝"/>
                          <w:sz w:val="24"/>
                        </w:rPr>
                        <w:t>移行とコスト構造改善、空港圏の人流増に応じたネットワーク形成を検証する。</w:t>
                      </w:r>
                    </w:p>
                    <w:p>
                      <w:pPr>
                        <w:pStyle w:val="0"/>
                        <w:ind w:left="0" w:leftChars="0" w:firstLine="0" w:firstLineChars="0"/>
                        <w:rPr>
                          <w:rFonts w:hint="eastAsia" w:ascii="ＭＳ Ｐ明朝" w:hAnsi="ＭＳ Ｐ明朝" w:eastAsia="ＭＳ Ｐ明朝"/>
                          <w:sz w:val="24"/>
                        </w:rPr>
                      </w:pPr>
                    </w:p>
                    <w:p>
                      <w:pPr>
                        <w:pStyle w:val="0"/>
                        <w:jc w:val="center"/>
                        <w:rPr>
                          <w:rFonts w:hint="eastAsia" w:ascii="ＭＳ Ｐ明朝" w:hAnsi="ＭＳ Ｐ明朝" w:eastAsia="ＭＳ Ｐ明朝"/>
                          <w:sz w:val="24"/>
                        </w:rPr>
                      </w:pPr>
                    </w:p>
                  </w:txbxContent>
                </v:textbox>
                <v:imagedata o:title=""/>
                <w10:wrap type="none" anchorx="text" anchory="text"/>
              </v:rect>
            </w:pict>
          </mc:Fallback>
        </mc:AlternateContent>
      </w:r>
    </w:p>
    <w:p>
      <w:pPr>
        <w:pStyle w:val="0"/>
        <w:ind w:left="0" w:leftChars="0" w:firstLine="0" w:firstLineChars="0"/>
        <w:rPr>
          <w:rFonts w:hint="eastAsia" w:ascii="ＭＳ Ｐ明朝" w:hAnsi="ＭＳ Ｐ明朝" w:eastAsia="ＭＳ Ｐ明朝"/>
          <w:spacing w:val="-4"/>
        </w:rPr>
      </w:pPr>
    </w:p>
    <w:sectPr>
      <w:footerReference r:id="rId7" w:type="default"/>
      <w:pgSz w:w="11910" w:h="16840"/>
      <w:pgMar w:top="851" w:right="851" w:bottom="567" w:left="851" w:header="0" w:footer="454" w:gutter="0"/>
      <w:cols w:space="720"/>
      <w:textDirection w:val="lrTb"/>
      <w:docGrid w:linePitch="29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Symbol">
    <w:panose1 w:val="00000000000000000000"/>
    <w:charset w:val="02"/>
    <w:family w:val="roman"/>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Ｐ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alibri">
    <w:panose1 w:val="00000000000000000000"/>
    <w:charset w:val="00"/>
    <w:family w:val="swiss"/>
    <w:notTrueType/>
    <w:pitch w:val="variable"/>
    <w:sig w:usb0="00000000" w:usb1="00000000" w:usb2="00000000" w:usb3="00000000" w:csb0="FF000000" w:csb1="00000000"/>
  </w:font>
  <w:font w:name="Cambria">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Meiryo UI">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Noto Sans JP">
    <w:panose1 w:val="00000000000000000000"/>
    <w:charset w:val="00"/>
    <w:family w:val="auto"/>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ＭＳ Ｐ明朝">
    <w:panose1 w:val="000008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 w:name="メイリオ">
    <w:panose1 w:val="000008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7"/>
      <w:rPr>
        <w:rFonts w:hint="default"/>
      </w:rPr>
    </w:pPr>
    <w:r>
      <w:rPr>
        <w:rFonts w:hint="eastAsia"/>
      </w:rPr>
      <w:t>1</w:t>
    </w: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default"/>
      </w:rPr>
    </w:pPr>
    <w:sdt>
      <w:sdtPr>
        <w:rPr>
          <w:rFonts w:hint="default"/>
        </w:rPr>
        <w:id w:val="1630123042"/>
        <w:docPartObj>
          <w:docPartGallery w:val="Page Numbers (Bottom of Page)"/>
          <w:docPartUnique/>
        </w:docPartObj>
      </w:sdtPr>
      <w:sdtEndPr>
        <w:rPr>
          <w:rFonts w:hint="default"/>
        </w:rPr>
      </w:sdtEndPr>
      <w:sdtContent>
        <w:sdt>
          <w:sdtPr>
            <w:rPr>
              <w:rFonts w:hint="default"/>
            </w:rPr>
            <w:id w:val="-737245255"/>
            <w:docPartObj>
              <w:docPartGallery w:val="Page Numbers (Top of Page)"/>
              <w:docPartUnique/>
            </w:docPartObj>
          </w:sdtPr>
          <w:sdtEndPr>
            <w:rPr>
              <w:rFonts w:hint="default"/>
            </w:rPr>
          </w:sdtEndPr>
          <w:sdtContent>
            <w:r>
              <w:rPr>
                <w:rFonts w:hint="default"/>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rPr>
              <w:t>4</w:t>
            </w:r>
            <w:r>
              <w:rPr>
                <w:rFonts w:hint="eastAsia"/>
              </w:rPr>
              <w:fldChar w:fldCharType="end"/>
            </w:r>
          </w:sdtContent>
        </w:sdt>
      </w:sdtContent>
    </w:sdt>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0324E818"/>
    <w:lvl w:ilvl="0" w:tplc="87A0ACE0">
      <w:start w:val="1"/>
      <w:numFmt w:val="upperRoman"/>
      <w:pStyle w:val="1"/>
      <w:lvlText w:val="%1."/>
      <w:lvlJc w:val="left"/>
      <w:pPr>
        <w:ind w:left="420" w:hanging="420"/>
      </w:pPr>
      <w:rPr>
        <w:b w:val="1"/>
        <w:i w:val="0"/>
        <w:caps w:val="0"/>
        <w:smallCaps w:val="0"/>
        <w:strike w:val="0"/>
        <w:dstrike w:val="0"/>
        <w:outline w:val="0"/>
        <w:shadow w:val="0"/>
        <w:emboss w:val="0"/>
        <w:imprint w:val="0"/>
        <w:vanish w:val="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93E89134">
      <w:start w:val="1"/>
      <w:numFmt w:val="decimal"/>
      <w:suff w:val="space"/>
      <w:lvlText w:val="%2."/>
      <w:lvlJc w:val="left"/>
      <w:pPr>
        <w:ind w:left="420" w:hanging="420"/>
      </w:pPr>
      <w:rPr>
        <w:rFonts w:hint="default" w:ascii="ＭＳ Ｐ明朝" w:hAnsi="ＭＳ Ｐ明朝" w:eastAsia="ＭＳ Ｐ明朝"/>
        <w:w w:val="100"/>
        <w:sz w:val="22"/>
      </w:rPr>
    </w:lvl>
    <w:lvl w:ilvl="2" w:tplc="F34AE67A">
      <w:numFmt w:val="bullet"/>
      <w:lvlText w:val=""/>
      <w:lvlJc w:val="left"/>
      <w:pPr>
        <w:ind w:left="954" w:hanging="420"/>
      </w:pPr>
      <w:rPr>
        <w:rFonts w:hint="default" w:ascii="Wingdings" w:hAnsi="Wingdings"/>
        <w:w w:val="163"/>
        <w:sz w:val="22"/>
      </w:rPr>
    </w:lvl>
    <w:lvl w:ilvl="3" w:tplc="B8D089A8">
      <w:numFmt w:val="bullet"/>
      <w:lvlText w:val="•"/>
      <w:lvlJc w:val="left"/>
      <w:pPr>
        <w:ind w:left="1978" w:hanging="420"/>
      </w:pPr>
      <w:rPr>
        <w:rFonts w:hint="default"/>
      </w:rPr>
    </w:lvl>
    <w:lvl w:ilvl="4" w:tplc="6C9C3AD4">
      <w:numFmt w:val="bullet"/>
      <w:lvlText w:val="•"/>
      <w:lvlJc w:val="left"/>
      <w:pPr>
        <w:ind w:left="2996" w:hanging="420"/>
      </w:pPr>
      <w:rPr>
        <w:rFonts w:hint="default"/>
      </w:rPr>
    </w:lvl>
    <w:lvl w:ilvl="5" w:tplc="23FC027C">
      <w:numFmt w:val="bullet"/>
      <w:lvlText w:val="•"/>
      <w:lvlJc w:val="left"/>
      <w:pPr>
        <w:ind w:left="4014" w:hanging="420"/>
      </w:pPr>
      <w:rPr>
        <w:rFonts w:hint="default"/>
      </w:rPr>
    </w:lvl>
    <w:lvl w:ilvl="6" w:tplc="CAD8692E">
      <w:numFmt w:val="bullet"/>
      <w:lvlText w:val="•"/>
      <w:lvlJc w:val="left"/>
      <w:pPr>
        <w:ind w:left="5033" w:hanging="420"/>
      </w:pPr>
      <w:rPr>
        <w:rFonts w:hint="default"/>
      </w:rPr>
    </w:lvl>
    <w:lvl w:ilvl="7" w:tplc="A3F44E92">
      <w:numFmt w:val="bullet"/>
      <w:lvlText w:val="•"/>
      <w:lvlJc w:val="left"/>
      <w:pPr>
        <w:ind w:left="6051" w:hanging="420"/>
      </w:pPr>
      <w:rPr>
        <w:rFonts w:hint="default"/>
      </w:rPr>
    </w:lvl>
    <w:lvl w:ilvl="8" w:tplc="92787546">
      <w:numFmt w:val="bullet"/>
      <w:lvlText w:val="•"/>
      <w:lvlJc w:val="left"/>
      <w:pPr>
        <w:ind w:left="7069" w:hanging="420"/>
      </w:pPr>
      <w:rPr>
        <w:rFonts w:hint="default"/>
      </w:rPr>
    </w:lvl>
  </w:abstractNum>
  <w:abstractNum w:abstractNumId="1">
    <w:nsid w:val="00000002"/>
    <w:multiLevelType w:val="hybridMultilevel"/>
    <w:tmpl w:val="FEAE0540"/>
    <w:lvl w:ilvl="0" w:tplc="C1C66D92">
      <w:start w:val="1"/>
      <w:numFmt w:val="decimal"/>
      <w:pStyle w:val="2"/>
      <w:lvlText w:val="%1."/>
      <w:lvlJc w:val="left"/>
      <w:pPr>
        <w:ind w:left="704" w:hanging="420"/>
      </w:pPr>
      <w:rPr>
        <w:b w:val="1"/>
        <w:i w:val="0"/>
        <w:caps w:val="0"/>
        <w:smallCaps w:val="0"/>
        <w:strike w:val="0"/>
        <w:dstrike w:val="0"/>
        <w:outline w:val="0"/>
        <w:shadow w:val="0"/>
        <w:emboss w:val="0"/>
        <w:imprint w:val="0"/>
        <w:vanish w:val="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tplc="93E89134">
      <w:start w:val="1"/>
      <w:numFmt w:val="decimal"/>
      <w:suff w:val="space"/>
      <w:lvlText w:val="%2."/>
      <w:lvlJc w:val="left"/>
      <w:pPr>
        <w:ind w:left="603" w:hanging="420"/>
      </w:pPr>
      <w:rPr>
        <w:rFonts w:hint="default" w:ascii="ＭＳ Ｐ明朝" w:hAnsi="ＭＳ Ｐ明朝" w:eastAsia="ＭＳ Ｐ明朝"/>
        <w:w w:val="100"/>
        <w:sz w:val="22"/>
      </w:rPr>
    </w:lvl>
    <w:lvl w:ilvl="2" w:tplc="F34AE67A">
      <w:numFmt w:val="bullet"/>
      <w:lvlText w:val=""/>
      <w:lvlJc w:val="left"/>
      <w:pPr>
        <w:ind w:left="1137" w:hanging="420"/>
      </w:pPr>
      <w:rPr>
        <w:rFonts w:hint="default" w:ascii="Wingdings" w:hAnsi="Wingdings"/>
        <w:w w:val="163"/>
        <w:sz w:val="22"/>
      </w:rPr>
    </w:lvl>
    <w:lvl w:ilvl="3" w:tplc="B8D089A8">
      <w:numFmt w:val="bullet"/>
      <w:lvlText w:val="•"/>
      <w:lvlJc w:val="left"/>
      <w:pPr>
        <w:ind w:left="2161" w:hanging="420"/>
      </w:pPr>
      <w:rPr>
        <w:rFonts w:hint="default"/>
      </w:rPr>
    </w:lvl>
    <w:lvl w:ilvl="4" w:tplc="6C9C3AD4">
      <w:numFmt w:val="bullet"/>
      <w:lvlText w:val="•"/>
      <w:lvlJc w:val="left"/>
      <w:pPr>
        <w:ind w:left="3179" w:hanging="420"/>
      </w:pPr>
      <w:rPr>
        <w:rFonts w:hint="default"/>
      </w:rPr>
    </w:lvl>
    <w:lvl w:ilvl="5" w:tplc="23FC027C">
      <w:numFmt w:val="bullet"/>
      <w:lvlText w:val="•"/>
      <w:lvlJc w:val="left"/>
      <w:pPr>
        <w:ind w:left="4197" w:hanging="420"/>
      </w:pPr>
      <w:rPr>
        <w:rFonts w:hint="default"/>
      </w:rPr>
    </w:lvl>
    <w:lvl w:ilvl="6" w:tplc="CAD8692E">
      <w:numFmt w:val="bullet"/>
      <w:lvlText w:val="•"/>
      <w:lvlJc w:val="left"/>
      <w:pPr>
        <w:ind w:left="5216" w:hanging="420"/>
      </w:pPr>
      <w:rPr>
        <w:rFonts w:hint="default"/>
      </w:rPr>
    </w:lvl>
    <w:lvl w:ilvl="7" w:tplc="A3F44E92">
      <w:numFmt w:val="bullet"/>
      <w:lvlText w:val="•"/>
      <w:lvlJc w:val="left"/>
      <w:pPr>
        <w:ind w:left="6234" w:hanging="420"/>
      </w:pPr>
      <w:rPr>
        <w:rFonts w:hint="default"/>
      </w:rPr>
    </w:lvl>
    <w:lvl w:ilvl="8" w:tplc="92787546">
      <w:numFmt w:val="bullet"/>
      <w:lvlText w:val="•"/>
      <w:lvlJc w:val="left"/>
      <w:pPr>
        <w:ind w:left="7252" w:hanging="420"/>
      </w:pPr>
      <w:rPr>
        <w:rFonts w:hint="default"/>
      </w:rPr>
    </w:lvl>
  </w:abstractNum>
  <w:abstractNum w:abstractNumId="2">
    <w:nsid w:val="00000003"/>
    <w:multiLevelType w:val="hybridMultilevel"/>
    <w:tmpl w:val="E75E81F2"/>
    <w:lvl w:ilvl="0" w:tplc="A268E6EE">
      <w:start w:val="1"/>
      <w:numFmt w:val="decimalFullWidth"/>
      <w:pStyle w:val="3"/>
      <w:lvlText w:val="（%1）"/>
      <w:lvlJc w:val="left"/>
      <w:pPr>
        <w:ind w:left="640" w:hanging="420"/>
      </w:pPr>
      <w:rPr>
        <w:rFonts w:hint="default"/>
        <w:b w:val="1"/>
      </w:rPr>
    </w:lvl>
    <w:lvl w:ilvl="1" w:tplc="04090017">
      <w:start w:val="1"/>
      <w:numFmt w:val="aiueoFullWidth"/>
      <w:lvlText w:val="(%2)"/>
      <w:lvlJc w:val="left"/>
      <w:pPr>
        <w:ind w:left="1060" w:hanging="420"/>
      </w:pPr>
    </w:lvl>
    <w:lvl w:ilvl="2" w:tplc="04090011">
      <w:start w:val="1"/>
      <w:numFmt w:val="decimalEnclosedCircle"/>
      <w:lvlText w:val="%3"/>
      <w:lvlJc w:val="left"/>
      <w:pPr>
        <w:ind w:left="1480" w:hanging="420"/>
      </w:pPr>
    </w:lvl>
    <w:lvl w:ilvl="3" w:tplc="0409000F">
      <w:start w:val="1"/>
      <w:numFmt w:val="decimal"/>
      <w:lvlText w:val="%4."/>
      <w:lvlJc w:val="left"/>
      <w:pPr>
        <w:ind w:left="1900" w:hanging="420"/>
      </w:pPr>
    </w:lvl>
    <w:lvl w:ilvl="4" w:tplc="04090017">
      <w:start w:val="1"/>
      <w:numFmt w:val="aiueoFullWidth"/>
      <w:lvlText w:val="(%5)"/>
      <w:lvlJc w:val="left"/>
      <w:pPr>
        <w:ind w:left="2320" w:hanging="420"/>
      </w:pPr>
    </w:lvl>
    <w:lvl w:ilvl="5" w:tplc="04090011">
      <w:start w:val="1"/>
      <w:numFmt w:val="decimalEnclosedCircle"/>
      <w:lvlText w:val="%6"/>
      <w:lvlJc w:val="left"/>
      <w:pPr>
        <w:ind w:left="2740" w:hanging="420"/>
      </w:pPr>
    </w:lvl>
    <w:lvl w:ilvl="6" w:tplc="0409000F">
      <w:start w:val="1"/>
      <w:numFmt w:val="decimal"/>
      <w:lvlText w:val="%7."/>
      <w:lvlJc w:val="left"/>
      <w:pPr>
        <w:ind w:left="3160" w:hanging="420"/>
      </w:pPr>
    </w:lvl>
    <w:lvl w:ilvl="7" w:tplc="04090017">
      <w:start w:val="1"/>
      <w:numFmt w:val="aiueoFullWidth"/>
      <w:lvlText w:val="(%8)"/>
      <w:lvlJc w:val="left"/>
      <w:pPr>
        <w:ind w:left="3580" w:hanging="420"/>
      </w:pPr>
    </w:lvl>
    <w:lvl w:ilvl="8" w:tplc="04090011">
      <w:start w:val="1"/>
      <w:numFmt w:val="decimalEnclosedCircle"/>
      <w:lvlText w:val="%9"/>
      <w:lvlJc w:val="left"/>
      <w:pPr>
        <w:ind w:left="4000" w:hanging="420"/>
      </w:pPr>
    </w:lvl>
  </w:abstractNum>
  <w:abstractNum w:abstractNumId="3">
    <w:nsid w:val="00000004"/>
    <w:multiLevelType w:val="hybridMultilevel"/>
    <w:tmpl w:val="3F30A27A"/>
    <w:lvl w:ilvl="0" w:tplc="8A7AD4DA">
      <w:numFmt w:val="bullet"/>
      <w:pStyle w:val="53"/>
      <w:lvlText w:val="•"/>
      <w:lvlJc w:val="left"/>
      <w:pPr>
        <w:ind w:left="640" w:hanging="420"/>
      </w:pPr>
      <w:rPr>
        <w:rFonts w:hint="default" w:ascii="Arial" w:hAnsi="Arial"/>
        <w:spacing w:val="-55"/>
        <w:w w:val="100"/>
        <w:sz w:val="20"/>
      </w:rPr>
    </w:lvl>
    <w:lvl w:ilvl="1" w:tplc="0409000B">
      <w:numFmt w:val="bullet"/>
      <w:lvlText w:val=""/>
      <w:lvlJc w:val="left"/>
      <w:pPr>
        <w:ind w:left="1060" w:hanging="420"/>
      </w:pPr>
      <w:rPr>
        <w:rFonts w:hint="default" w:ascii="Wingdings" w:hAnsi="Wingdings"/>
      </w:rPr>
    </w:lvl>
    <w:lvl w:ilvl="2" w:tplc="0409000D">
      <w:numFmt w:val="bullet"/>
      <w:lvlText w:val=""/>
      <w:lvlJc w:val="left"/>
      <w:pPr>
        <w:ind w:left="1480" w:hanging="420"/>
      </w:pPr>
      <w:rPr>
        <w:rFonts w:hint="default" w:ascii="Wingdings" w:hAnsi="Wingdings"/>
      </w:rPr>
    </w:lvl>
    <w:lvl w:ilvl="3" w:tplc="04090001">
      <w:numFmt w:val="bullet"/>
      <w:lvlText w:val=""/>
      <w:lvlJc w:val="left"/>
      <w:pPr>
        <w:ind w:left="1900" w:hanging="420"/>
      </w:pPr>
      <w:rPr>
        <w:rFonts w:hint="default" w:ascii="Wingdings" w:hAnsi="Wingdings"/>
      </w:rPr>
    </w:lvl>
    <w:lvl w:ilvl="4" w:tplc="0409000B">
      <w:numFmt w:val="bullet"/>
      <w:lvlText w:val=""/>
      <w:lvlJc w:val="left"/>
      <w:pPr>
        <w:ind w:left="2320" w:hanging="420"/>
      </w:pPr>
      <w:rPr>
        <w:rFonts w:hint="default" w:ascii="Wingdings" w:hAnsi="Wingdings"/>
      </w:rPr>
    </w:lvl>
    <w:lvl w:ilvl="5" w:tplc="0409000D">
      <w:numFmt w:val="bullet"/>
      <w:lvlText w:val=""/>
      <w:lvlJc w:val="left"/>
      <w:pPr>
        <w:ind w:left="2740" w:hanging="420"/>
      </w:pPr>
      <w:rPr>
        <w:rFonts w:hint="default" w:ascii="Wingdings" w:hAnsi="Wingdings"/>
      </w:rPr>
    </w:lvl>
    <w:lvl w:ilvl="6" w:tplc="04090001">
      <w:numFmt w:val="bullet"/>
      <w:lvlText w:val=""/>
      <w:lvlJc w:val="left"/>
      <w:pPr>
        <w:ind w:left="3160" w:hanging="420"/>
      </w:pPr>
      <w:rPr>
        <w:rFonts w:hint="default" w:ascii="Wingdings" w:hAnsi="Wingdings"/>
      </w:rPr>
    </w:lvl>
    <w:lvl w:ilvl="7" w:tplc="0409000B">
      <w:numFmt w:val="bullet"/>
      <w:lvlText w:val=""/>
      <w:lvlJc w:val="left"/>
      <w:pPr>
        <w:ind w:left="3580" w:hanging="420"/>
      </w:pPr>
      <w:rPr>
        <w:rFonts w:hint="default" w:ascii="Wingdings" w:hAnsi="Wingdings"/>
      </w:rPr>
    </w:lvl>
    <w:lvl w:ilvl="8" w:tplc="0409000D">
      <w:numFmt w:val="bullet"/>
      <w:lvlText w:val=""/>
      <w:lvlJc w:val="left"/>
      <w:pPr>
        <w:ind w:left="4000" w:hanging="420"/>
      </w:pPr>
      <w:rPr>
        <w:rFonts w:hint="default" w:ascii="Wingdings" w:hAnsi="Wingdings"/>
      </w:rPr>
    </w:lvl>
  </w:abstractNum>
  <w:abstractNum w:abstractNumId="4">
    <w:nsid w:val="00000005"/>
    <w:multiLevelType w:val="multilevel"/>
    <w:tmpl w:val="80AE19BA"/>
    <w:lvl w:ilvl="0">
      <w:numFmt w:val="bullet"/>
      <w:lvlText w:val=""/>
      <w:lvlJc w:val="left"/>
      <w:pPr>
        <w:tabs>
          <w:tab w:val="num" w:leader="none" w:pos="720"/>
        </w:tabs>
        <w:ind w:left="720" w:hanging="360"/>
      </w:pPr>
      <w:rPr>
        <w:rFonts w:hint="default" w:ascii="Symbol" w:hAnsi="Symbol"/>
        <w:sz w:val="20"/>
      </w:rPr>
    </w:lvl>
    <w:lvl w:ilvl="1">
      <w:numFmt w:val="bullet"/>
      <w:lvlText w:val="o"/>
      <w:lvlJc w:val="left"/>
      <w:pPr>
        <w:tabs>
          <w:tab w:val="num" w:leader="none" w:pos="1440"/>
        </w:tabs>
        <w:ind w:left="1440" w:hanging="360"/>
      </w:pPr>
      <w:rPr>
        <w:rFonts w:hint="default" w:ascii="Courier New" w:hAnsi="Courier New"/>
        <w:sz w:val="20"/>
      </w:rPr>
    </w:lvl>
    <w:lvl w:ilvl="2">
      <w:numFmt w:val="bullet"/>
      <w:lvlText w:val=""/>
      <w:lvlJc w:val="left"/>
      <w:pPr>
        <w:tabs>
          <w:tab w:val="num" w:leader="none" w:pos="2160"/>
        </w:tabs>
        <w:ind w:left="2160" w:hanging="360"/>
      </w:pPr>
      <w:rPr>
        <w:rFonts w:hint="default" w:ascii="Wingdings" w:hAnsi="Wingdings"/>
        <w:sz w:val="20"/>
      </w:rPr>
    </w:lvl>
    <w:lvl w:ilvl="3">
      <w:numFmt w:val="bullet"/>
      <w:lvlText w:val=""/>
      <w:lvlJc w:val="left"/>
      <w:pPr>
        <w:tabs>
          <w:tab w:val="num" w:leader="none" w:pos="2880"/>
        </w:tabs>
        <w:ind w:left="2880" w:hanging="360"/>
      </w:pPr>
      <w:rPr>
        <w:rFonts w:hint="default" w:ascii="Wingdings" w:hAnsi="Wingdings"/>
        <w:sz w:val="20"/>
      </w:rPr>
    </w:lvl>
    <w:lvl w:ilvl="4">
      <w:numFmt w:val="bullet"/>
      <w:lvlText w:val=""/>
      <w:lvlJc w:val="left"/>
      <w:pPr>
        <w:tabs>
          <w:tab w:val="num" w:leader="none" w:pos="3600"/>
        </w:tabs>
        <w:ind w:left="3600" w:hanging="360"/>
      </w:pPr>
      <w:rPr>
        <w:rFonts w:hint="default" w:ascii="Wingdings" w:hAnsi="Wingdings"/>
        <w:sz w:val="20"/>
      </w:rPr>
    </w:lvl>
    <w:lvl w:ilvl="5">
      <w:numFmt w:val="bullet"/>
      <w:lvlText w:val=""/>
      <w:lvlJc w:val="left"/>
      <w:pPr>
        <w:tabs>
          <w:tab w:val="num" w:leader="none" w:pos="4320"/>
        </w:tabs>
        <w:ind w:left="4320" w:hanging="360"/>
      </w:pPr>
      <w:rPr>
        <w:rFonts w:hint="default" w:ascii="Wingdings" w:hAnsi="Wingdings"/>
        <w:sz w:val="20"/>
      </w:rPr>
    </w:lvl>
    <w:lvl w:ilvl="6">
      <w:numFmt w:val="bullet"/>
      <w:lvlText w:val=""/>
      <w:lvlJc w:val="left"/>
      <w:pPr>
        <w:tabs>
          <w:tab w:val="num" w:leader="none" w:pos="5040"/>
        </w:tabs>
        <w:ind w:left="5040" w:hanging="360"/>
      </w:pPr>
      <w:rPr>
        <w:rFonts w:hint="default" w:ascii="Wingdings" w:hAnsi="Wingdings"/>
        <w:sz w:val="20"/>
      </w:rPr>
    </w:lvl>
    <w:lvl w:ilvl="7">
      <w:numFmt w:val="bullet"/>
      <w:lvlText w:val=""/>
      <w:lvlJc w:val="left"/>
      <w:pPr>
        <w:tabs>
          <w:tab w:val="num" w:leader="none" w:pos="5760"/>
        </w:tabs>
        <w:ind w:left="5760" w:hanging="360"/>
      </w:pPr>
      <w:rPr>
        <w:rFonts w:hint="default" w:ascii="Wingdings" w:hAnsi="Wingdings"/>
        <w:sz w:val="20"/>
      </w:rPr>
    </w:lvl>
    <w:lvl w:ilvl="8">
      <w:numFmt w:val="bullet"/>
      <w:lvlText w:val=""/>
      <w:lvlJc w:val="left"/>
      <w:pPr>
        <w:tabs>
          <w:tab w:val="num" w:leader="none" w:pos="6480"/>
        </w:tabs>
        <w:ind w:left="6480" w:hanging="360"/>
      </w:pPr>
      <w:rPr>
        <w:rFonts w:hint="default" w:ascii="Wingdings" w:hAnsi="Wingdings"/>
        <w:sz w:val="20"/>
      </w:rPr>
    </w:lvl>
  </w:abstractNum>
  <w:abstractNum w:abstractNumId="5">
    <w:nsid w:val="00000006"/>
    <w:multiLevelType w:val="multilevel"/>
    <w:tmpl w:val="7F380036"/>
    <w:lvl w:ilvl="0">
      <w:numFmt w:val="bullet"/>
      <w:lvlText w:val=""/>
      <w:lvlJc w:val="left"/>
      <w:pPr>
        <w:tabs>
          <w:tab w:val="num" w:leader="none" w:pos="720"/>
        </w:tabs>
        <w:ind w:left="720" w:hanging="360"/>
      </w:pPr>
      <w:rPr>
        <w:rFonts w:hint="default" w:ascii="Symbol" w:hAnsi="Symbol"/>
        <w:sz w:val="20"/>
      </w:rPr>
    </w:lvl>
    <w:lvl w:ilvl="1">
      <w:numFmt w:val="bullet"/>
      <w:lvlText w:val="o"/>
      <w:lvlJc w:val="left"/>
      <w:pPr>
        <w:tabs>
          <w:tab w:val="num" w:leader="none" w:pos="1440"/>
        </w:tabs>
        <w:ind w:left="1440" w:hanging="360"/>
      </w:pPr>
      <w:rPr>
        <w:rFonts w:hint="default" w:ascii="Courier New" w:hAnsi="Courier New"/>
        <w:sz w:val="20"/>
      </w:rPr>
    </w:lvl>
    <w:lvl w:ilvl="2">
      <w:numFmt w:val="bullet"/>
      <w:lvlText w:val=""/>
      <w:lvlJc w:val="left"/>
      <w:pPr>
        <w:tabs>
          <w:tab w:val="num" w:leader="none" w:pos="2160"/>
        </w:tabs>
        <w:ind w:left="2160" w:hanging="360"/>
      </w:pPr>
      <w:rPr>
        <w:rFonts w:hint="default" w:ascii="Wingdings" w:hAnsi="Wingdings"/>
        <w:sz w:val="20"/>
      </w:rPr>
    </w:lvl>
    <w:lvl w:ilvl="3">
      <w:numFmt w:val="bullet"/>
      <w:lvlText w:val=""/>
      <w:lvlJc w:val="left"/>
      <w:pPr>
        <w:tabs>
          <w:tab w:val="num" w:leader="none" w:pos="2880"/>
        </w:tabs>
        <w:ind w:left="2880" w:hanging="360"/>
      </w:pPr>
      <w:rPr>
        <w:rFonts w:hint="default" w:ascii="Wingdings" w:hAnsi="Wingdings"/>
        <w:sz w:val="20"/>
      </w:rPr>
    </w:lvl>
    <w:lvl w:ilvl="4">
      <w:numFmt w:val="bullet"/>
      <w:lvlText w:val=""/>
      <w:lvlJc w:val="left"/>
      <w:pPr>
        <w:tabs>
          <w:tab w:val="num" w:leader="none" w:pos="3600"/>
        </w:tabs>
        <w:ind w:left="3600" w:hanging="360"/>
      </w:pPr>
      <w:rPr>
        <w:rFonts w:hint="default" w:ascii="Wingdings" w:hAnsi="Wingdings"/>
        <w:sz w:val="20"/>
      </w:rPr>
    </w:lvl>
    <w:lvl w:ilvl="5">
      <w:numFmt w:val="bullet"/>
      <w:lvlText w:val=""/>
      <w:lvlJc w:val="left"/>
      <w:pPr>
        <w:tabs>
          <w:tab w:val="num" w:leader="none" w:pos="4320"/>
        </w:tabs>
        <w:ind w:left="4320" w:hanging="360"/>
      </w:pPr>
      <w:rPr>
        <w:rFonts w:hint="default" w:ascii="Wingdings" w:hAnsi="Wingdings"/>
        <w:sz w:val="20"/>
      </w:rPr>
    </w:lvl>
    <w:lvl w:ilvl="6">
      <w:numFmt w:val="bullet"/>
      <w:lvlText w:val=""/>
      <w:lvlJc w:val="left"/>
      <w:pPr>
        <w:tabs>
          <w:tab w:val="num" w:leader="none" w:pos="5040"/>
        </w:tabs>
        <w:ind w:left="5040" w:hanging="360"/>
      </w:pPr>
      <w:rPr>
        <w:rFonts w:hint="default" w:ascii="Wingdings" w:hAnsi="Wingdings"/>
        <w:sz w:val="20"/>
      </w:rPr>
    </w:lvl>
    <w:lvl w:ilvl="7">
      <w:numFmt w:val="bullet"/>
      <w:lvlText w:val=""/>
      <w:lvlJc w:val="left"/>
      <w:pPr>
        <w:tabs>
          <w:tab w:val="num" w:leader="none" w:pos="5760"/>
        </w:tabs>
        <w:ind w:left="5760" w:hanging="360"/>
      </w:pPr>
      <w:rPr>
        <w:rFonts w:hint="default" w:ascii="Wingdings" w:hAnsi="Wingdings"/>
        <w:sz w:val="20"/>
      </w:rPr>
    </w:lvl>
    <w:lvl w:ilvl="8">
      <w:numFmt w:val="bullet"/>
      <w:lvlText w:val=""/>
      <w:lvlJc w:val="left"/>
      <w:pPr>
        <w:tabs>
          <w:tab w:val="num" w:leader="none" w:pos="6480"/>
        </w:tabs>
        <w:ind w:left="6480" w:hanging="360"/>
      </w:pPr>
      <w:rPr>
        <w:rFonts w:hint="default" w:ascii="Wingdings" w:hAnsi="Wingdings"/>
        <w:sz w:val="20"/>
      </w:rPr>
    </w:lvl>
  </w:abstractNum>
  <w:abstractNum w:abstractNumId="6">
    <w:nsid w:val="00000007"/>
    <w:multiLevelType w:val="hybridMultilevel"/>
    <w:tmpl w:val="435F59A4"/>
    <w:lvl w:ilvl="0" w:tplc="07CC01C1">
      <w:numFmt w:val="bullet"/>
      <w:suff w:val="space"/>
      <w:lvlText w:val="・"/>
      <w:lvlJc w:val="left"/>
      <w:pPr>
        <w:ind w:left="420" w:hanging="420"/>
      </w:pPr>
      <w:rPr>
        <w:rFonts w:hint="eastAsia" w:ascii="ＭＳ 明朝" w:hAnsi="ＭＳ 明朝" w:eastAsia="ＭＳ 明朝"/>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7">
    <w:nsid w:val="00000008"/>
    <w:multiLevelType w:val="hybridMultilevel"/>
    <w:tmpl w:val="154F7E80"/>
    <w:lvl w:ilvl="0" w:tplc="BCD76E71">
      <w:numFmt w:val="bullet"/>
      <w:lvlText w:val="・"/>
      <w:lvlJc w:val="left"/>
      <w:pPr>
        <w:ind w:left="220" w:hanging="220"/>
      </w:pPr>
      <w:rPr>
        <w:rFonts w:hint="eastAsia" w:ascii="ＭＳ 明朝" w:hAnsi="ＭＳ 明朝" w:eastAsia="ＭＳ 明朝"/>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8">
    <w:nsid w:val="00000009"/>
    <w:multiLevelType w:val="hybridMultilevel"/>
    <w:tmpl w:val="850F5D6A"/>
    <w:lvl w:ilvl="0" w:tplc="8F4BC330">
      <w:numFmt w:val="bullet"/>
      <w:suff w:val="space"/>
      <w:lvlText w:val="・"/>
      <w:lvlJc w:val="left"/>
      <w:pPr>
        <w:ind w:left="420" w:hanging="420"/>
      </w:pPr>
      <w:rPr>
        <w:rFonts w:hint="eastAsia" w:ascii="ＭＳ 明朝" w:hAnsi="ＭＳ 明朝" w:eastAsia="ＭＳ 明朝"/>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9">
    <w:nsid w:val="0000000A"/>
    <w:multiLevelType w:val="hybridMultilevel"/>
    <w:tmpl w:val="4C808EE8"/>
    <w:lvl w:ilvl="0" w:tplc="6E63569A">
      <w:numFmt w:val="bullet"/>
      <w:suff w:val="space"/>
      <w:lvlText w:val="・"/>
      <w:lvlJc w:val="left"/>
      <w:pPr>
        <w:ind w:left="420" w:hanging="420"/>
      </w:pPr>
      <w:rPr>
        <w:rFonts w:hint="eastAsia" w:ascii="ＭＳ 明朝" w:hAnsi="ＭＳ 明朝" w:eastAsia="ＭＳ 明朝"/>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10">
    <w:nsid w:val="0000000B"/>
    <w:multiLevelType w:val="hybridMultilevel"/>
    <w:tmpl w:val="4B8CD6E4"/>
    <w:lvl w:ilvl="0" w:tplc="3E0AC963">
      <w:numFmt w:val="bullet"/>
      <w:suff w:val="space"/>
      <w:lvlText w:val="・"/>
      <w:lvlJc w:val="left"/>
      <w:pPr>
        <w:ind w:left="420" w:hanging="420"/>
      </w:pPr>
      <w:rPr>
        <w:rFonts w:hint="eastAsia" w:ascii="ＭＳ 明朝" w:hAnsi="ＭＳ 明朝" w:eastAsia="ＭＳ 明朝"/>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11">
    <w:nsid w:val="0000000C"/>
    <w:multiLevelType w:val="hybridMultilevel"/>
    <w:tmpl w:val="1B42F4EA"/>
    <w:lvl w:ilvl="0" w:tplc="EA08C50F">
      <w:numFmt w:val="bullet"/>
      <w:suff w:val="space"/>
      <w:lvlText w:val="・"/>
      <w:lvlJc w:val="left"/>
      <w:pPr>
        <w:ind w:left="420" w:hanging="420"/>
      </w:pPr>
      <w:rPr>
        <w:rFonts w:hint="eastAsia" w:ascii="ＭＳ 明朝" w:hAnsi="ＭＳ 明朝" w:eastAsia="ＭＳ 明朝"/>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60"/>
  <w:bordersDoNotSurroundHeader/>
  <w:bordersDoNotSurroundFooter/>
  <w:defaultTabStop w:val="719"/>
  <w:drawingGridHorizontalSpacing w:val="110"/>
  <w:displayHorizontalDrawingGridEvery w:val="2"/>
  <w:hdrShapeDefaults>
    <o:shapelayout v:ext="edit"/>
  </w:hdrShapeDefaults>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sz w:val="22"/>
      </w:rPr>
    </w:rPrDefault>
  </w:docDefaults>
  <w:style w:type="paragraph" w:styleId="0" w:default="1">
    <w:name w:val="Normal"/>
    <w:next w:val="0"/>
    <w:link w:val="0"/>
    <w:uiPriority w:val="0"/>
    <w:qFormat/>
    <w:pPr>
      <w:ind w:left="284" w:leftChars="129" w:firstLine="220" w:firstLineChars="100"/>
    </w:pPr>
    <w:rPr>
      <w:rFonts w:ascii="ＭＳ Ｐ明朝" w:hAnsi="ＭＳ Ｐ明朝" w:eastAsia="ＭＳ Ｐ明朝"/>
    </w:rPr>
  </w:style>
  <w:style w:type="paragraph" w:styleId="1">
    <w:name w:val="heading 1"/>
    <w:basedOn w:val="0"/>
    <w:next w:val="1"/>
    <w:link w:val="0"/>
    <w:uiPriority w:val="0"/>
    <w:qFormat/>
    <w:pPr>
      <w:numPr>
        <w:ilvl w:val="0"/>
        <w:numId w:val="1"/>
      </w:numPr>
      <w:spacing w:after="299" w:afterLines="100" w:afterAutospacing="0"/>
      <w:ind w:left="0" w:leftChars="0" w:firstLine="261"/>
      <w:outlineLvl w:val="0"/>
    </w:pPr>
    <w:rPr>
      <w:b w:val="1"/>
      <w:sz w:val="26"/>
    </w:rPr>
  </w:style>
  <w:style w:type="paragraph" w:styleId="2">
    <w:name w:val="heading 2"/>
    <w:basedOn w:val="0"/>
    <w:next w:val="0"/>
    <w:link w:val="36"/>
    <w:uiPriority w:val="0"/>
    <w:qFormat/>
    <w:pPr>
      <w:keepNext w:val="1"/>
      <w:numPr>
        <w:ilvl w:val="0"/>
        <w:numId w:val="2"/>
      </w:numPr>
      <w:spacing w:after="149" w:afterLines="50" w:afterAutospacing="0"/>
      <w:ind w:left="0" w:leftChars="0" w:firstLine="260"/>
      <w:outlineLvl w:val="1"/>
    </w:pPr>
    <w:rPr>
      <w:sz w:val="26"/>
    </w:rPr>
  </w:style>
  <w:style w:type="paragraph" w:styleId="3">
    <w:name w:val="heading 3"/>
    <w:basedOn w:val="0"/>
    <w:next w:val="0"/>
    <w:link w:val="30"/>
    <w:uiPriority w:val="0"/>
    <w:qFormat/>
    <w:pPr>
      <w:keepNext w:val="1"/>
      <w:numPr>
        <w:ilvl w:val="0"/>
        <w:numId w:val="3"/>
      </w:numPr>
      <w:spacing w:after="149" w:afterLines="50" w:afterAutospacing="0"/>
      <w:outlineLvl w:val="2"/>
    </w:pPr>
    <w:rPr>
      <w:rFonts w:asciiTheme="majorHAnsi" w:hAnsiTheme="majorHAnsi" w:eastAsiaTheme="majorEastAsia"/>
      <w:sz w:val="24"/>
    </w:rPr>
  </w:style>
  <w:style w:type="paragraph" w:styleId="4">
    <w:name w:val="heading 4"/>
    <w:basedOn w:val="0"/>
    <w:next w:val="0"/>
    <w:link w:val="31"/>
    <w:uiPriority w:val="0"/>
    <w:qFormat/>
    <w:pPr>
      <w:keepNext w:val="1"/>
      <w:ind w:left="400" w:leftChars="400"/>
      <w:outlineLvl w:val="3"/>
    </w:pPr>
    <w:rPr>
      <w:b w:val="1"/>
    </w:rPr>
  </w:style>
  <w:style w:type="paragraph" w:styleId="5">
    <w:name w:val="heading 5"/>
    <w:basedOn w:val="0"/>
    <w:next w:val="0"/>
    <w:link w:val="29"/>
    <w:uiPriority w:val="0"/>
    <w:qFormat/>
    <w:pPr>
      <w:keepNext w:val="1"/>
      <w:ind w:left="800" w:leftChars="800"/>
      <w:outlineLvl w:val="4"/>
    </w:pPr>
    <w:rPr>
      <w:rFonts w:asciiTheme="majorHAnsi" w:hAnsiTheme="majorHAnsi" w:eastAsiaTheme="majorEastAsia"/>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18"/>
    <w:uiPriority w:val="0"/>
    <w:qFormat/>
    <w:pPr>
      <w:snapToGrid w:val="0"/>
      <w:spacing w:after="59" w:afterLines="20" w:afterAutospacing="0"/>
      <w:ind w:left="220" w:leftChars="100"/>
      <w:jc w:val="both"/>
    </w:pPr>
    <w:rPr>
      <w:rFonts w:ascii="游明朝" w:hAnsi="游明朝" w:eastAsia="游明朝"/>
      <w:spacing w:val="-4"/>
    </w:rPr>
  </w:style>
  <w:style w:type="paragraph" w:styleId="16">
    <w:name w:val="List Paragraph"/>
    <w:basedOn w:val="0"/>
    <w:next w:val="16"/>
    <w:link w:val="54"/>
    <w:uiPriority w:val="0"/>
    <w:qFormat/>
    <w:pPr>
      <w:ind w:left="522" w:hanging="420"/>
    </w:pPr>
  </w:style>
  <w:style w:type="paragraph" w:styleId="17" w:customStyle="1">
    <w:name w:val="Table Paragraph"/>
    <w:basedOn w:val="0"/>
    <w:next w:val="17"/>
    <w:link w:val="0"/>
    <w:uiPriority w:val="0"/>
    <w:qFormat/>
    <w:pPr>
      <w:spacing w:before="39" w:beforeLines="0" w:beforeAutospacing="0"/>
      <w:ind w:left="98"/>
    </w:pPr>
  </w:style>
  <w:style w:type="character" w:styleId="18" w:customStyle="1">
    <w:name w:val="本文 (文字)"/>
    <w:basedOn w:val="10"/>
    <w:next w:val="18"/>
    <w:link w:val="15"/>
    <w:uiPriority w:val="0"/>
    <w:rPr>
      <w:rFonts w:ascii="游明朝" w:hAnsi="游明朝" w:eastAsia="游明朝"/>
      <w:spacing w:val="-4"/>
    </w:rPr>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Closing"/>
    <w:basedOn w:val="0"/>
    <w:next w:val="21"/>
    <w:link w:val="22"/>
    <w:uiPriority w:val="0"/>
    <w:pPr>
      <w:widowControl w:val="1"/>
      <w:autoSpaceDE w:val="1"/>
      <w:autoSpaceDN w:val="1"/>
      <w:spacing w:after="160" w:afterLines="0" w:afterAutospacing="0" w:line="259" w:lineRule="auto"/>
      <w:jc w:val="right"/>
    </w:pPr>
    <w:rPr>
      <w:rFonts w:ascii="Meiryo UI" w:hAnsi="Meiryo UI" w:eastAsia="Meiryo UI"/>
    </w:rPr>
  </w:style>
  <w:style w:type="character" w:styleId="22" w:customStyle="1">
    <w:name w:val="結語 (文字)"/>
    <w:basedOn w:val="10"/>
    <w:next w:val="22"/>
    <w:link w:val="21"/>
    <w:uiPriority w:val="0"/>
    <w:rPr>
      <w:rFonts w:ascii="Meiryo UI" w:hAnsi="Meiryo UI" w:eastAsia="Meiryo UI"/>
    </w:rPr>
  </w:style>
  <w:style w:type="character" w:styleId="23">
    <w:name w:val="Hyperlink"/>
    <w:basedOn w:val="10"/>
    <w:next w:val="23"/>
    <w:link w:val="0"/>
    <w:uiPriority w:val="0"/>
    <w:rPr>
      <w:color w:val="0000FF" w:themeColor="hyperlink"/>
      <w:u w:val="single" w:color="auto"/>
    </w:rPr>
  </w:style>
  <w:style w:type="character" w:styleId="24" w:customStyle="1">
    <w:name w:val="未解決のメンション1"/>
    <w:basedOn w:val="10"/>
    <w:next w:val="24"/>
    <w:link w:val="0"/>
    <w:uiPriority w:val="0"/>
    <w:rPr>
      <w:color w:val="605E5C"/>
      <w:shd w:val="clear" w:color="auto" w:fill="E1DFDD"/>
    </w:rPr>
  </w:style>
  <w:style w:type="paragraph" w:styleId="25">
    <w:name w:val="header"/>
    <w:basedOn w:val="0"/>
    <w:next w:val="25"/>
    <w:link w:val="26"/>
    <w:uiPriority w:val="0"/>
    <w:pPr>
      <w:tabs>
        <w:tab w:val="center" w:leader="none" w:pos="4252"/>
        <w:tab w:val="right" w:leader="none" w:pos="8504"/>
      </w:tabs>
      <w:snapToGrid w:val="0"/>
    </w:pPr>
  </w:style>
  <w:style w:type="character" w:styleId="26" w:customStyle="1">
    <w:name w:val="ヘッダー (文字)"/>
    <w:basedOn w:val="10"/>
    <w:next w:val="26"/>
    <w:link w:val="25"/>
    <w:uiPriority w:val="0"/>
    <w:rPr>
      <w:rFonts w:ascii="ＭＳ Ｐ明朝" w:hAnsi="ＭＳ Ｐ明朝" w:eastAsia="ＭＳ Ｐ明朝"/>
    </w:rPr>
  </w:style>
  <w:style w:type="paragraph" w:styleId="27">
    <w:name w:val="footer"/>
    <w:basedOn w:val="0"/>
    <w:next w:val="27"/>
    <w:link w:val="28"/>
    <w:uiPriority w:val="0"/>
    <w:pPr>
      <w:tabs>
        <w:tab w:val="center" w:leader="none" w:pos="4252"/>
        <w:tab w:val="right" w:leader="none" w:pos="8504"/>
      </w:tabs>
      <w:snapToGrid w:val="0"/>
    </w:pPr>
  </w:style>
  <w:style w:type="character" w:styleId="28" w:customStyle="1">
    <w:name w:val="フッター (文字)"/>
    <w:basedOn w:val="10"/>
    <w:next w:val="28"/>
    <w:link w:val="27"/>
    <w:uiPriority w:val="0"/>
    <w:rPr>
      <w:rFonts w:ascii="ＭＳ Ｐ明朝" w:hAnsi="ＭＳ Ｐ明朝" w:eastAsia="ＭＳ Ｐ明朝"/>
    </w:rPr>
  </w:style>
  <w:style w:type="character" w:styleId="29" w:customStyle="1">
    <w:name w:val="見出し 5 (文字)"/>
    <w:basedOn w:val="10"/>
    <w:next w:val="29"/>
    <w:link w:val="5"/>
    <w:uiPriority w:val="0"/>
    <w:rPr>
      <w:rFonts w:asciiTheme="majorHAnsi" w:hAnsiTheme="majorHAnsi" w:eastAsiaTheme="majorEastAsia"/>
    </w:rPr>
  </w:style>
  <w:style w:type="character" w:styleId="30" w:customStyle="1">
    <w:name w:val="見出し 3 (文字)"/>
    <w:basedOn w:val="10"/>
    <w:next w:val="30"/>
    <w:link w:val="3"/>
    <w:uiPriority w:val="0"/>
    <w:rPr>
      <w:rFonts w:asciiTheme="majorHAnsi" w:hAnsiTheme="majorHAnsi" w:eastAsiaTheme="majorEastAsia"/>
      <w:sz w:val="24"/>
    </w:rPr>
  </w:style>
  <w:style w:type="character" w:styleId="31" w:customStyle="1">
    <w:name w:val="見出し 4 (文字)"/>
    <w:basedOn w:val="10"/>
    <w:next w:val="31"/>
    <w:link w:val="4"/>
    <w:uiPriority w:val="0"/>
    <w:rPr>
      <w:rFonts w:ascii="ＭＳ Ｐ明朝" w:hAnsi="ＭＳ Ｐ明朝" w:eastAsia="ＭＳ Ｐ明朝"/>
      <w:b w:val="1"/>
    </w:rPr>
  </w:style>
  <w:style w:type="paragraph" w:styleId="32">
    <w:name w:val="TOC Heading"/>
    <w:basedOn w:val="1"/>
    <w:next w:val="0"/>
    <w:link w:val="0"/>
    <w:uiPriority w:val="0"/>
    <w:qFormat/>
    <w:pPr>
      <w:keepNext w:val="1"/>
      <w:keepLines w:val="1"/>
      <w:widowControl w:val="1"/>
      <w:autoSpaceDE w:val="1"/>
      <w:autoSpaceDN w:val="1"/>
      <w:spacing w:before="240" w:beforeLines="0" w:beforeAutospacing="0" w:line="259" w:lineRule="auto"/>
      <w:ind w:firstLine="0"/>
      <w:outlineLvl w:val="9"/>
    </w:pPr>
    <w:rPr>
      <w:rFonts w:asciiTheme="majorHAnsi" w:hAnsiTheme="majorHAnsi" w:eastAsiaTheme="majorEastAsia"/>
      <w:b w:val="0"/>
      <w:color w:val="366092" w:themeColor="accent1" w:themeShade="BF"/>
      <w:sz w:val="32"/>
    </w:rPr>
  </w:style>
  <w:style w:type="paragraph" w:styleId="33">
    <w:name w:val="toc 2"/>
    <w:basedOn w:val="0"/>
    <w:next w:val="0"/>
    <w:link w:val="0"/>
    <w:uiPriority w:val="0"/>
    <w:pPr>
      <w:widowControl w:val="1"/>
      <w:autoSpaceDE w:val="1"/>
      <w:autoSpaceDN w:val="1"/>
      <w:spacing w:after="100" w:afterLines="0" w:afterAutospacing="0" w:line="259" w:lineRule="auto"/>
      <w:ind w:left="220"/>
    </w:pPr>
    <w:rPr>
      <w:rFonts w:asciiTheme="minorHAnsi" w:hAnsiTheme="minorHAnsi" w:eastAsiaTheme="minorEastAsia"/>
    </w:rPr>
  </w:style>
  <w:style w:type="paragraph" w:styleId="34">
    <w:name w:val="toc 1"/>
    <w:basedOn w:val="0"/>
    <w:next w:val="0"/>
    <w:link w:val="0"/>
    <w:uiPriority w:val="0"/>
    <w:pPr>
      <w:widowControl w:val="1"/>
      <w:tabs>
        <w:tab w:val="right" w:leader="dot" w:pos="9356"/>
      </w:tabs>
      <w:autoSpaceDE w:val="1"/>
      <w:autoSpaceDN w:val="1"/>
      <w:spacing w:line="259" w:lineRule="auto"/>
      <w:ind w:left="220" w:leftChars="100" w:right="220" w:rightChars="100" w:firstLine="221"/>
    </w:pPr>
    <w:rPr>
      <w:rFonts w:asciiTheme="minorHAnsi" w:hAnsiTheme="minorHAnsi" w:eastAsiaTheme="minorEastAsia"/>
    </w:rPr>
  </w:style>
  <w:style w:type="paragraph" w:styleId="35">
    <w:name w:val="toc 3"/>
    <w:basedOn w:val="0"/>
    <w:next w:val="0"/>
    <w:link w:val="0"/>
    <w:uiPriority w:val="0"/>
    <w:pPr>
      <w:widowControl w:val="1"/>
      <w:autoSpaceDE w:val="1"/>
      <w:autoSpaceDN w:val="1"/>
      <w:spacing w:after="100" w:afterLines="0" w:afterAutospacing="0" w:line="259" w:lineRule="auto"/>
      <w:ind w:left="440"/>
    </w:pPr>
    <w:rPr>
      <w:rFonts w:asciiTheme="minorHAnsi" w:hAnsiTheme="minorHAnsi" w:eastAsiaTheme="minorEastAsia"/>
    </w:rPr>
  </w:style>
  <w:style w:type="character" w:styleId="36" w:customStyle="1">
    <w:name w:val="見出し 2 (文字)"/>
    <w:basedOn w:val="10"/>
    <w:next w:val="36"/>
    <w:link w:val="2"/>
    <w:uiPriority w:val="0"/>
    <w:rPr>
      <w:rFonts w:ascii="ＭＳ Ｐ明朝" w:hAnsi="ＭＳ Ｐ明朝" w:eastAsia="ＭＳ Ｐ明朝"/>
      <w:sz w:val="26"/>
    </w:rPr>
  </w:style>
  <w:style w:type="character" w:styleId="37">
    <w:name w:val="annotation reference"/>
    <w:basedOn w:val="10"/>
    <w:next w:val="37"/>
    <w:link w:val="0"/>
    <w:uiPriority w:val="0"/>
    <w:semiHidden/>
    <w:rPr>
      <w:sz w:val="18"/>
    </w:rPr>
  </w:style>
  <w:style w:type="paragraph" w:styleId="38">
    <w:name w:val="annotation text"/>
    <w:basedOn w:val="0"/>
    <w:next w:val="38"/>
    <w:link w:val="39"/>
    <w:uiPriority w:val="0"/>
    <w:semiHidden/>
  </w:style>
  <w:style w:type="character" w:styleId="39" w:customStyle="1">
    <w:name w:val="コメント文字列 (文字)"/>
    <w:basedOn w:val="10"/>
    <w:next w:val="39"/>
    <w:link w:val="38"/>
    <w:uiPriority w:val="0"/>
    <w:rPr>
      <w:rFonts w:ascii="ＭＳ Ｐ明朝" w:hAnsi="ＭＳ Ｐ明朝" w:eastAsia="ＭＳ Ｐ明朝"/>
    </w:rPr>
  </w:style>
  <w:style w:type="paragraph" w:styleId="40">
    <w:name w:val="annotation subject"/>
    <w:basedOn w:val="38"/>
    <w:next w:val="38"/>
    <w:link w:val="41"/>
    <w:uiPriority w:val="0"/>
    <w:semiHidden/>
    <w:rPr>
      <w:b w:val="1"/>
    </w:rPr>
  </w:style>
  <w:style w:type="character" w:styleId="41" w:customStyle="1">
    <w:name w:val="コメント内容 (文字)"/>
    <w:basedOn w:val="39"/>
    <w:next w:val="41"/>
    <w:link w:val="40"/>
    <w:uiPriority w:val="0"/>
    <w:rPr>
      <w:rFonts w:ascii="ＭＳ Ｐ明朝" w:hAnsi="ＭＳ Ｐ明朝" w:eastAsia="ＭＳ Ｐ明朝"/>
      <w:b w:val="1"/>
    </w:rPr>
  </w:style>
  <w:style w:type="character" w:styleId="42">
    <w:name w:val="FollowedHyperlink"/>
    <w:basedOn w:val="10"/>
    <w:next w:val="42"/>
    <w:link w:val="0"/>
    <w:uiPriority w:val="0"/>
    <w:rPr>
      <w:color w:val="800080" w:themeColor="followedHyperlink"/>
      <w:u w:val="single" w:color="auto"/>
    </w:rPr>
  </w:style>
  <w:style w:type="paragraph" w:styleId="43">
    <w:name w:val="Normal (Web)"/>
    <w:basedOn w:val="0"/>
    <w:next w:val="43"/>
    <w:link w:val="0"/>
    <w:uiPriority w:val="0"/>
    <w:pPr>
      <w:widowControl w:val="1"/>
      <w:autoSpaceDE w:val="1"/>
      <w:autoSpaceDN w:val="1"/>
      <w:spacing w:before="100" w:beforeLines="0" w:beforeAutospacing="1" w:after="100" w:afterLines="0" w:afterAutospacing="1"/>
    </w:pPr>
    <w:rPr>
      <w:rFonts w:ascii="ＭＳ Ｐゴシック" w:hAnsi="ＭＳ Ｐゴシック" w:eastAsia="ＭＳ Ｐゴシック"/>
      <w:sz w:val="24"/>
    </w:rPr>
  </w:style>
  <w:style w:type="paragraph" w:styleId="44">
    <w:name w:val="Revision"/>
    <w:next w:val="44"/>
    <w:link w:val="0"/>
    <w:uiPriority w:val="0"/>
    <w:pPr>
      <w:widowControl w:val="1"/>
      <w:autoSpaceDE w:val="1"/>
      <w:autoSpaceDN w:val="1"/>
    </w:pPr>
    <w:rPr>
      <w:rFonts w:ascii="ＭＳ Ｐ明朝" w:hAnsi="ＭＳ Ｐ明朝" w:eastAsia="ＭＳ Ｐ明朝"/>
    </w:rPr>
  </w:style>
  <w:style w:type="paragraph" w:styleId="45">
    <w:name w:val="footnote text"/>
    <w:basedOn w:val="0"/>
    <w:next w:val="45"/>
    <w:link w:val="46"/>
    <w:uiPriority w:val="0"/>
    <w:semiHidden/>
    <w:pPr>
      <w:snapToGrid w:val="0"/>
    </w:pPr>
  </w:style>
  <w:style w:type="character" w:styleId="46" w:customStyle="1">
    <w:name w:val="脚注文字列 (文字)"/>
    <w:basedOn w:val="10"/>
    <w:next w:val="46"/>
    <w:link w:val="45"/>
    <w:uiPriority w:val="0"/>
    <w:rPr>
      <w:rFonts w:ascii="ＭＳ Ｐ明朝" w:hAnsi="ＭＳ Ｐ明朝" w:eastAsia="ＭＳ Ｐ明朝"/>
    </w:rPr>
  </w:style>
  <w:style w:type="character" w:styleId="47">
    <w:name w:val="footnote reference"/>
    <w:basedOn w:val="10"/>
    <w:next w:val="47"/>
    <w:link w:val="0"/>
    <w:uiPriority w:val="0"/>
    <w:semiHidden/>
    <w:rPr>
      <w:vertAlign w:val="superscript"/>
    </w:rPr>
  </w:style>
  <w:style w:type="paragraph" w:styleId="48">
    <w:name w:val="Date"/>
    <w:basedOn w:val="0"/>
    <w:next w:val="0"/>
    <w:link w:val="49"/>
    <w:uiPriority w:val="0"/>
  </w:style>
  <w:style w:type="character" w:styleId="49" w:customStyle="1">
    <w:name w:val="日付 (文字)"/>
    <w:basedOn w:val="10"/>
    <w:next w:val="49"/>
    <w:link w:val="48"/>
    <w:uiPriority w:val="0"/>
    <w:rPr>
      <w:rFonts w:ascii="ＭＳ Ｐ明朝" w:hAnsi="ＭＳ Ｐ明朝" w:eastAsia="ＭＳ Ｐ明朝"/>
    </w:rPr>
  </w:style>
  <w:style w:type="character" w:styleId="50" w:customStyle="1">
    <w:name w:val="未解決のメンション2"/>
    <w:basedOn w:val="10"/>
    <w:next w:val="50"/>
    <w:link w:val="0"/>
    <w:uiPriority w:val="0"/>
    <w:rPr>
      <w:color w:val="605E5C"/>
      <w:shd w:val="clear" w:color="auto" w:fill="E1DFDD"/>
    </w:rPr>
  </w:style>
  <w:style w:type="paragraph" w:styleId="51">
    <w:name w:val="Title"/>
    <w:basedOn w:val="0"/>
    <w:next w:val="0"/>
    <w:link w:val="52"/>
    <w:uiPriority w:val="0"/>
    <w:qFormat/>
    <w:pPr>
      <w:ind w:firstLine="360"/>
      <w:jc w:val="center"/>
    </w:pPr>
    <w:rPr>
      <w:sz w:val="36"/>
    </w:rPr>
  </w:style>
  <w:style w:type="character" w:styleId="52" w:customStyle="1">
    <w:name w:val="表題 (文字)"/>
    <w:basedOn w:val="10"/>
    <w:next w:val="52"/>
    <w:link w:val="51"/>
    <w:uiPriority w:val="0"/>
    <w:rPr>
      <w:rFonts w:ascii="ＭＳ Ｐ明朝" w:hAnsi="ＭＳ Ｐ明朝" w:eastAsia="ＭＳ Ｐ明朝"/>
      <w:sz w:val="36"/>
    </w:rPr>
  </w:style>
  <w:style w:type="paragraph" w:styleId="53" w:customStyle="1">
    <w:name w:val="てん"/>
    <w:basedOn w:val="16"/>
    <w:next w:val="53"/>
    <w:link w:val="55"/>
    <w:uiPriority w:val="0"/>
    <w:qFormat/>
    <w:pPr>
      <w:numPr>
        <w:ilvl w:val="0"/>
        <w:numId w:val="4"/>
      </w:numPr>
      <w:ind w:left="709" w:leftChars="0" w:hanging="214" w:firstLineChars="0"/>
    </w:pPr>
  </w:style>
  <w:style w:type="character" w:styleId="54" w:customStyle="1">
    <w:name w:val="リスト段落 (文字)"/>
    <w:basedOn w:val="10"/>
    <w:next w:val="54"/>
    <w:link w:val="16"/>
    <w:uiPriority w:val="0"/>
    <w:rPr>
      <w:rFonts w:ascii="ＭＳ Ｐ明朝" w:hAnsi="ＭＳ Ｐ明朝" w:eastAsia="ＭＳ Ｐ明朝"/>
    </w:rPr>
  </w:style>
  <w:style w:type="character" w:styleId="55" w:customStyle="1">
    <w:name w:val="てん (文字)"/>
    <w:basedOn w:val="54"/>
    <w:next w:val="55"/>
    <w:link w:val="53"/>
    <w:uiPriority w:val="0"/>
    <w:rPr>
      <w:rFonts w:ascii="ＭＳ Ｐ明朝" w:hAnsi="ＭＳ Ｐ明朝" w:eastAsia="ＭＳ Ｐ明朝"/>
    </w:rPr>
  </w:style>
  <w:style w:type="character" w:styleId="56" w:customStyle="1">
    <w:name w:val="未解決のメンション3"/>
    <w:basedOn w:val="10"/>
    <w:next w:val="56"/>
    <w:link w:val="0"/>
    <w:uiPriority w:val="0"/>
    <w:rPr>
      <w:color w:val="605E5C"/>
      <w:shd w:val="clear" w:color="auto" w:fill="E1DFDD"/>
    </w:rPr>
  </w:style>
  <w:style w:type="paragraph" w:styleId="57">
    <w:name w:val="caption"/>
    <w:basedOn w:val="0"/>
    <w:next w:val="0"/>
    <w:link w:val="0"/>
    <w:uiPriority w:val="0"/>
    <w:semiHidden/>
    <w:qFormat/>
    <w:pPr>
      <w:widowControl w:val="1"/>
      <w:autoSpaceDE w:val="1"/>
      <w:autoSpaceDN w:val="1"/>
      <w:ind w:left="0" w:leftChars="0" w:firstLine="0" w:firstLineChars="0"/>
      <w:jc w:val="center"/>
    </w:pPr>
    <w:rPr>
      <w:rFonts w:ascii="ＭＳ Ｐゴシック" w:hAnsi="ＭＳ Ｐゴシック" w:eastAsia="ＭＳ 明朝"/>
    </w:rPr>
  </w:style>
  <w:style w:type="character" w:styleId="58">
    <w:name w:val="Strong"/>
    <w:basedOn w:val="10"/>
    <w:next w:val="58"/>
    <w:link w:val="0"/>
    <w:uiPriority w:val="0"/>
    <w:qFormat/>
    <w:rPr>
      <w:b w:val="1"/>
    </w:rPr>
  </w:style>
  <w:style w:type="character" w:styleId="59">
    <w:name w:val="endnote reference"/>
    <w:basedOn w:val="10"/>
    <w:next w:val="59"/>
    <w:link w:val="0"/>
    <w:uiPriority w:val="0"/>
    <w:semiHidden/>
    <w:rPr>
      <w:vertAlign w:val="superscript"/>
    </w:rPr>
  </w:style>
  <w:style w:type="table" w:styleId="60" w:customStyle="1">
    <w:name w:val="Table Normal"/>
    <w:basedOn w:val="11"/>
    <w:next w:val="60"/>
    <w:link w:val="0"/>
    <w:uiPriority w:val="0"/>
    <w:tblPr>
      <w:tblStyleRowBandSize w:val="1"/>
      <w:tblStyleColBandSize w:val="1"/>
      <w:tblInd w:w="0" w:type="dxa"/>
      <w:tblCellMar>
        <w:top w:w="0" w:type="dxa"/>
        <w:bottom w:w="0" w:type="dxa"/>
        <w:left w:w="0" w:type="dxa"/>
        <w:right w:w="0" w:type="dxa"/>
      </w:tblCellMar>
    </w:tblPr>
    <w:trPr/>
    <w:tcPr/>
  </w:style>
  <w:style w:type="table" w:styleId="61">
    <w:name w:val="Table Grid"/>
    <w:basedOn w:val="11"/>
    <w:next w:val="6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62" w:customStyle="1">
    <w:name w:val="TableGrid"/>
    <w:basedOn w:val="11"/>
    <w:next w:val="62"/>
    <w:link w:val="0"/>
    <w:uiPriority w:val="0"/>
    <w:pPr>
      <w:widowControl w:val="1"/>
      <w:autoSpaceDE w:val="1"/>
      <w:autoSpaceDN w:val="1"/>
    </w:pPr>
    <w:rPr>
      <w:kern w:val="2"/>
      <w:sz w:val="21"/>
    </w:rPr>
    <w:tblPr>
      <w:tblStyleRowBandSize w:val="1"/>
      <w:tblStyleColBandSize w:val="1"/>
      <w:tblCellMar>
        <w:top w:w="0" w:type="dxa"/>
        <w:bottom w:w="0" w:type="dxa"/>
        <w:left w:w="0" w:type="dxa"/>
        <w:right w:w="0" w:type="dxa"/>
      </w:tblCellMar>
    </w:tblPr>
    <w:trPr/>
    <w:tc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fontTable" Target="fontTable.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theme" Target="theme/theme1.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A9619B-5EC4-44ED-BF06-200A3145C15B}"/>
</file>

<file path=customXml/itemProps2.xml><?xml version="1.0" encoding="utf-8"?>
<ds:datastoreItem xmlns:ds="http://schemas.openxmlformats.org/officeDocument/2006/customXml" ds:itemID="{D3C52FC7-A122-41E8-A568-C15A96E54A58}"/>
</file>

<file path=customXml/itemProps3.xml><?xml version="1.0" encoding="utf-8"?>
<ds:datastoreItem xmlns:ds="http://schemas.openxmlformats.org/officeDocument/2006/customXml" ds:itemID="{A161E045-36DF-48B8-BB8D-10208C57CFBD}"/>
</file>

<file path=docProps/app.xml><?xml version="1.0" encoding="utf-8"?>
<Properties xmlns:vt="http://schemas.openxmlformats.org/officeDocument/2006/docPropsVTypes" xmlns="http://schemas.openxmlformats.org/officeDocument/2006/extended-properties">
  <Template>Normal.dot</Template>
  <TotalTime>198</TotalTime>
  <Pages>4</Pages>
  <Words>75</Words>
  <Characters>2834</Characters>
  <Application>JUST Note</Application>
  <Lines>526</Lines>
  <Paragraphs>100</Paragraphs>
  <CharactersWithSpaces>2841</CharactersWithSpaces>
  <AppVersion>4.0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dc:creator>
  <cp:lastModifiedBy>横芝光町</cp:lastModifiedBy>
  <cp:revision>15</cp:revision>
  <cp:lastPrinted>2026-03-10T02:26:09Z</cp:lastPrinted>
  <dcterms:created xsi:type="dcterms:W3CDTF">2024-07-02T02:49:00Z</dcterms:created>
  <dcterms:modified xsi:type="dcterms:W3CDTF">2026-03-10T02:26:11Z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Created">
    <vt:filetime>2020-05-07T00:00:00Z</vt:filetime>
  </property>
  <property fmtid="{D5CDD505-2E9C-101B-9397-08002B2CF9AE}" pid="4" name="Creator">
    <vt:lpwstr>Microsoft® Word for Office 365</vt:lpwstr>
  </property>
  <property fmtid="{D5CDD505-2E9C-101B-9397-08002B2CF9AE}" pid="5" name="LastSaved">
    <vt:filetime>2020-07-16T00:00:00Z</vt:filetime>
  </property>
  <property fmtid="{D5CDD505-2E9C-101B-9397-08002B2CF9AE}" pid="6" name="MediaServiceImageTags">
    <vt:lpwstr/>
  </property>
</Properties>
</file>