
<file path=[Content_Types].xml><?xml version="1.0" encoding="utf-8"?>
<Types xmlns="http://schemas.openxmlformats.org/package/2006/content-types">
  <Default Extension="bmp" ContentType="image/bmp"/>
  <Default Extension="dib" ContentType="image/dib"/>
  <Default Extension="emf" ContentType="image/x-emf"/>
  <Default Extension="gif" ContentType="image/gif"/>
  <Default Extension="glb" ContentType="model/gltf.binary"/>
  <Default Extension="jpg" ContentType="image/jpeg"/>
  <Default Extension="png" ContentType="image/png"/>
  <Default Extension="rels" ContentType="application/vnd.openxmlformats-package.relationships+xml"/>
  <Default Extension="svg" ContentType="image/svg+xml"/>
  <Default Extension="tiff" ContentType="image/tiff"/>
  <Default Extension="wdp" ContentType="image/vnd.ms-photo"/>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51"/>
        <w:ind w:left="0" w:leftChars="0" w:firstLine="0" w:firstLineChars="0"/>
        <w:jc w:val="left"/>
        <w:rPr>
          <w:rFonts w:hint="default"/>
          <w:sz w:val="28"/>
        </w:rPr>
      </w:pPr>
      <w:r>
        <w:rPr>
          <w:rFonts w:hint="default"/>
          <w:spacing w:val="-4"/>
        </w:rPr>
        <mc:AlternateContent>
          <mc:Choice Requires="wps">
            <w:drawing>
              <wp:anchor distT="45720" distB="45720" distL="114300" distR="114300" simplePos="0" relativeHeight="3" behindDoc="0" locked="0" layoutInCell="1" hidden="0" allowOverlap="1">
                <wp:simplePos x="0" y="0"/>
                <wp:positionH relativeFrom="column">
                  <wp:posOffset>3996055</wp:posOffset>
                </wp:positionH>
                <wp:positionV relativeFrom="paragraph">
                  <wp:posOffset>78105</wp:posOffset>
                </wp:positionV>
                <wp:extent cx="2453005" cy="210820"/>
                <wp:effectExtent l="635" t="635" r="29845" b="10795"/>
                <wp:wrapSquare wrapText="bothSides"/>
                <wp:docPr id="1026" name="テキスト ボックス 2"/>
                <a:graphic xmlns:a="http://schemas.openxmlformats.org/drawingml/2006/main">
                  <a:graphicData uri="http://schemas.microsoft.com/office/word/2010/wordprocessingShape">
                    <wps:wsp>
                      <wps:cNvPr id="1026" name="テキスト ボックス 2"/>
                      <wps:cNvSpPr txBox="1">
                        <a:spLocks noChangeArrowheads="1"/>
                      </wps:cNvSpPr>
                      <wps:spPr>
                        <a:xfrm>
                          <a:off x="0" y="0"/>
                          <a:ext cx="2453005" cy="210820"/>
                        </a:xfrm>
                        <a:prstGeom prst="rect">
                          <a:avLst/>
                        </a:prstGeom>
                        <a:solidFill>
                          <a:srgbClr val="FFFFFF"/>
                        </a:solidFill>
                        <a:ln w="9525">
                          <a:solidFill>
                            <a:srgbClr val="000000"/>
                          </a:solidFill>
                          <a:miter lim="800000"/>
                          <a:headEnd/>
                          <a:tailEnd/>
                        </a:ln>
                      </wps:spPr>
                      <wps:txbx>
                        <w:txbxContent>
                          <w:p>
                            <w:pPr>
                              <w:pStyle w:val="0"/>
                              <w:ind w:left="0" w:leftChars="0" w:firstLine="0" w:firstLineChars="0"/>
                              <w:jc w:val="center"/>
                              <w:rPr>
                                <w:rFonts w:hint="default"/>
                              </w:rPr>
                            </w:pPr>
                            <w:r>
                              <w:rPr>
                                <w:rFonts w:hint="eastAsia"/>
                              </w:rPr>
                              <w:t>自治体名：三重県伊勢市</w:t>
                            </w:r>
                          </w:p>
                        </w:txbxContent>
                      </wps:txbx>
                      <wps:bodyPr rot="0" vertOverflow="overflow" horzOverflow="overflow"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2" style="mso-position-vertical-relative:text;z-index:3;mso-wrap-distance-left:9pt;width:193.15pt;height:16.600000000000001pt;mso-wrap-mode:square;mso-position-horizontal-relative:text;position:absolute;margin-left:314.64pt;margin-top:6.15pt;mso-wrap-distance-bottom:3.6pt;mso-wrap-distance-right:9pt;mso-wrap-distance-top:3.6pt;v-text-anchor:top;" o:spid="_x0000_s1026" o:allowincell="t" o:allowoverlap="t" filled="t" fillcolor="#ffffff" stroked="t" strokecolor="#000000" strokeweight="0.75pt" o:spt="202" type="#_x0000_t202">
                <v:fill/>
                <v:stroke miterlimit="8" filltype="solid"/>
                <v:textbox style="layout-flow:horizontal;" inset="0mm,0mm,0mm,0mm">
                  <w:txbxContent>
                    <w:p>
                      <w:pPr>
                        <w:pStyle w:val="0"/>
                        <w:ind w:left="0" w:leftChars="0" w:firstLine="0" w:firstLineChars="0"/>
                        <w:jc w:val="center"/>
                        <w:rPr>
                          <w:rFonts w:hint="default"/>
                        </w:rPr>
                      </w:pPr>
                      <w:r>
                        <w:rPr>
                          <w:rFonts w:hint="eastAsia"/>
                        </w:rPr>
                        <w:t>自治体名：三重県伊勢市</w:t>
                      </w:r>
                    </w:p>
                  </w:txbxContent>
                </v:textbox>
                <v:imagedata o:title=""/>
                <w10:wrap type="square" side="both" anchorx="text" anchory="text"/>
              </v:shape>
            </w:pict>
          </mc:Fallback>
        </mc:AlternateContent>
      </w:r>
    </w:p>
    <w:p>
      <w:pPr>
        <w:pStyle w:val="0"/>
        <w:ind w:left="0" w:leftChars="0" w:firstLine="0" w:firstLineChars="0"/>
        <w:rPr>
          <w:rFonts w:hint="default"/>
        </w:rPr>
      </w:pPr>
    </w:p>
    <w:p>
      <w:pPr>
        <w:pStyle w:val="51"/>
        <w:ind w:left="0" w:leftChars="0" w:firstLine="0" w:firstLineChars="0"/>
        <w:rPr>
          <w:rFonts w:hint="default"/>
          <w:sz w:val="28"/>
        </w:rPr>
      </w:pPr>
      <w:bookmarkStart w:id="0" w:name="_Hlk100911823"/>
      <w:r>
        <w:rPr>
          <w:rFonts w:hint="eastAsia"/>
          <w:sz w:val="28"/>
        </w:rPr>
        <w:t>自動運転社会実装推進事業</w:t>
      </w:r>
    </w:p>
    <w:p>
      <w:pPr>
        <w:pStyle w:val="51"/>
        <w:ind w:left="0" w:leftChars="0" w:firstLine="0" w:firstLineChars="0"/>
        <w:rPr>
          <w:rFonts w:hint="default"/>
          <w:sz w:val="28"/>
        </w:rPr>
      </w:pPr>
      <w:r>
        <w:rPr>
          <w:rFonts w:hint="eastAsia"/>
          <w:sz w:val="28"/>
        </w:rPr>
        <w:t>最終報告書（概要版）</w:t>
      </w:r>
    </w:p>
    <w:p>
      <w:pPr>
        <w:pStyle w:val="0"/>
        <w:ind w:left="0" w:leftChars="0" w:firstLine="0" w:firstLineChars="0"/>
        <w:rPr>
          <w:rFonts w:hint="default"/>
        </w:rPr>
      </w:pPr>
    </w:p>
    <w:p>
      <w:pPr>
        <w:pStyle w:val="0"/>
        <w:ind w:left="0" w:leftChars="0" w:firstLine="0" w:firstLineChars="0"/>
        <w:rPr>
          <w:rFonts w:hint="default"/>
          <w:spacing w:val="-4"/>
          <w:sz w:val="26"/>
        </w:rPr>
      </w:pPr>
      <w:bookmarkEnd w:id="0"/>
      <w:r>
        <w:rPr>
          <w:rFonts w:hint="eastAsia"/>
        </w:rPr>
        <mc:AlternateContent>
          <mc:Choice Requires="wps">
            <w:drawing>
              <wp:anchor distT="45720" distB="45720" distL="114300" distR="114300" simplePos="0" relativeHeight="2" behindDoc="0" locked="0" layoutInCell="1" hidden="0" allowOverlap="1">
                <wp:simplePos x="0" y="0"/>
                <wp:positionH relativeFrom="column">
                  <wp:posOffset>64135</wp:posOffset>
                </wp:positionH>
                <wp:positionV relativeFrom="paragraph">
                  <wp:posOffset>293370</wp:posOffset>
                </wp:positionV>
                <wp:extent cx="6386195" cy="863600"/>
                <wp:effectExtent l="635" t="635" r="29845" b="10795"/>
                <wp:wrapSquare wrapText="bothSides"/>
                <wp:docPr id="1027" name="テキスト ボックス 2"/>
                <a:graphic xmlns:a="http://schemas.openxmlformats.org/drawingml/2006/main">
                  <a:graphicData uri="http://schemas.microsoft.com/office/word/2010/wordprocessingShape">
                    <wps:wsp>
                      <wps:cNvPr id="1027" name="テキスト ボックス 2"/>
                      <wps:cNvSpPr txBox="1">
                        <a:spLocks noChangeArrowheads="1"/>
                      </wps:cNvSpPr>
                      <wps:spPr>
                        <a:xfrm>
                          <a:off x="0" y="0"/>
                          <a:ext cx="6386195" cy="863600"/>
                        </a:xfrm>
                        <a:prstGeom prst="rect">
                          <a:avLst/>
                        </a:prstGeom>
                        <a:solidFill>
                          <a:srgbClr val="FFFFFF"/>
                        </a:solidFill>
                        <a:ln w="9525">
                          <a:solidFill>
                            <a:srgbClr val="000000"/>
                          </a:solidFill>
                          <a:miter lim="800000"/>
                          <a:headEnd/>
                          <a:tailEnd/>
                        </a:ln>
                      </wps:spPr>
                      <wps:txbx>
                        <w:txbxContent>
                          <w:p>
                            <w:pPr>
                              <w:pStyle w:val="0"/>
                              <w:ind w:left="0" w:leftChars="0" w:firstLine="0" w:firstLineChars="0"/>
                              <w:rPr>
                                <w:rFonts w:hint="default"/>
                              </w:rPr>
                            </w:pPr>
                            <w:r>
                              <w:rPr>
                                <w:rFonts w:hint="default"/>
                              </w:rPr>
                              <w:t>2033</w:t>
                            </w:r>
                            <w:r>
                              <w:rPr>
                                <w:rFonts w:hint="default"/>
                              </w:rPr>
                              <w:t>年の式年遷宮を見据え、深刻な運転士不足への対策として内宮</w:t>
                            </w:r>
                            <w:r>
                              <w:rPr>
                                <w:rFonts w:hint="default"/>
                              </w:rPr>
                              <w:t>―</w:t>
                            </w:r>
                            <w:r>
                              <w:rPr>
                                <w:rFonts w:hint="default"/>
                              </w:rPr>
                              <w:t>外宮間で自動運転レベル</w:t>
                            </w:r>
                            <w:r>
                              <w:rPr>
                                <w:rFonts w:hint="default"/>
                              </w:rPr>
                              <w:t>4</w:t>
                            </w:r>
                            <w:r>
                              <w:rPr>
                                <w:rFonts w:hint="default"/>
                              </w:rPr>
                              <w:t>のバス運行を目指す。観光客の利便性を高める一方、捻出した人員を生活路線へ再配置し地域交通を維持する。渋滞緩和や環境負荷低減も図り、伊勢を次世代型交通モデルが確立された持続可能な観光都市へと導く実証に取り組む。</w:t>
                            </w:r>
                          </w:p>
                          <w:p>
                            <w:pPr>
                              <w:pStyle w:val="0"/>
                              <w:ind w:left="0" w:leftChars="0" w:firstLine="0" w:firstLineChars="0"/>
                              <w:rPr>
                                <w:rFonts w:hint="default"/>
                              </w:rPr>
                            </w:pPr>
                          </w:p>
                          <w:p>
                            <w:pPr>
                              <w:pStyle w:val="0"/>
                              <w:ind w:left="0" w:leftChars="0" w:firstLine="0" w:firstLineChars="0"/>
                              <w:rPr>
                                <w:rFonts w:hint="default"/>
                              </w:rPr>
                            </w:pP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2" style="mso-position-vertical-relative:text;z-index:2;mso-wrap-distance-left:9pt;width:502.85pt;height:68pt;mso-wrap-mode:square;mso-position-horizontal-relative:text;position:absolute;margin-left:5.05pt;margin-top:23.1pt;mso-wrap-distance-bottom:3.6pt;mso-wrap-distance-right:9pt;mso-wrap-distance-top:3.6pt;v-text-anchor:top;" o:spid="_x0000_s1027"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ind w:left="0" w:leftChars="0" w:firstLine="0" w:firstLineChars="0"/>
                        <w:rPr>
                          <w:rFonts w:hint="default"/>
                        </w:rPr>
                      </w:pPr>
                      <w:r>
                        <w:rPr>
                          <w:rFonts w:hint="default"/>
                        </w:rPr>
                        <w:t>2033</w:t>
                      </w:r>
                      <w:r>
                        <w:rPr>
                          <w:rFonts w:hint="default"/>
                        </w:rPr>
                        <w:t>年の式年遷宮を見据え、深刻な運転士不足への対策として内宮</w:t>
                      </w:r>
                      <w:r>
                        <w:rPr>
                          <w:rFonts w:hint="default"/>
                        </w:rPr>
                        <w:t>―</w:t>
                      </w:r>
                      <w:r>
                        <w:rPr>
                          <w:rFonts w:hint="default"/>
                        </w:rPr>
                        <w:t>外宮間で自動運転レベル</w:t>
                      </w:r>
                      <w:r>
                        <w:rPr>
                          <w:rFonts w:hint="default"/>
                        </w:rPr>
                        <w:t>4</w:t>
                      </w:r>
                      <w:r>
                        <w:rPr>
                          <w:rFonts w:hint="default"/>
                        </w:rPr>
                        <w:t>のバス運行を目指す。観光客の利便性を高める一方、捻出した人員を生活路線へ再配置し地域交通を維持する。渋滞緩和や環境負荷低減も図り、伊勢を次世代型交通モデルが確立された持続可能な観光都市へと導く実証に取り組む。</w:t>
                      </w:r>
                    </w:p>
                    <w:p>
                      <w:pPr>
                        <w:pStyle w:val="0"/>
                        <w:ind w:left="0" w:leftChars="0" w:firstLine="0" w:firstLineChars="0"/>
                        <w:rPr>
                          <w:rFonts w:hint="default"/>
                        </w:rPr>
                      </w:pPr>
                    </w:p>
                    <w:p>
                      <w:pPr>
                        <w:pStyle w:val="0"/>
                        <w:ind w:left="0" w:leftChars="0" w:firstLine="0" w:firstLineChars="0"/>
                        <w:rPr>
                          <w:rFonts w:hint="default"/>
                        </w:rPr>
                      </w:pPr>
                    </w:p>
                  </w:txbxContent>
                </v:textbox>
                <v:imagedata o:title=""/>
                <w10:wrap type="square" side="both" anchorx="text" anchory="text"/>
              </v:shape>
            </w:pict>
          </mc:Fallback>
        </mc:AlternateContent>
      </w:r>
      <w:r>
        <w:rPr>
          <w:rFonts w:hint="eastAsia"/>
          <w:b w:val="1"/>
          <w:spacing w:val="-4"/>
          <w:sz w:val="26"/>
        </w:rPr>
        <w:t>【事業背景・目的】</w:t>
      </w:r>
    </w:p>
    <w:p>
      <w:pPr>
        <w:pStyle w:val="0"/>
        <w:ind w:left="0" w:leftChars="0" w:firstLine="0" w:firstLineChars="0"/>
        <w:rPr>
          <w:rFonts w:hint="default"/>
          <w:spacing w:val="-4"/>
          <w:sz w:val="6"/>
        </w:rPr>
      </w:pPr>
    </w:p>
    <w:p>
      <w:pPr>
        <w:pStyle w:val="0"/>
        <w:ind w:left="0" w:leftChars="0" w:firstLine="0" w:firstLineChars="0"/>
        <w:rPr>
          <w:rFonts w:hint="default"/>
          <w:b w:val="1"/>
          <w:spacing w:val="-4"/>
          <w:sz w:val="26"/>
        </w:rPr>
      </w:pPr>
      <w:r>
        <w:rPr>
          <w:rFonts w:hint="default"/>
          <w:spacing w:val="-4"/>
        </w:rPr>
        <mc:AlternateContent>
          <mc:Choice Requires="wps">
            <w:drawing>
              <wp:anchor distT="45720" distB="45720" distL="114300" distR="114300" simplePos="0" relativeHeight="7" behindDoc="0" locked="0" layoutInCell="1" hidden="0" allowOverlap="1">
                <wp:simplePos x="0" y="0"/>
                <wp:positionH relativeFrom="column">
                  <wp:posOffset>61595</wp:posOffset>
                </wp:positionH>
                <wp:positionV relativeFrom="paragraph">
                  <wp:posOffset>280035</wp:posOffset>
                </wp:positionV>
                <wp:extent cx="6386195" cy="899160"/>
                <wp:effectExtent l="635" t="635" r="29845" b="10795"/>
                <wp:wrapSquare wrapText="bothSides"/>
                <wp:docPr id="1028" name="テキスト ボックス 3"/>
                <a:graphic xmlns:a="http://schemas.openxmlformats.org/drawingml/2006/main">
                  <a:graphicData uri="http://schemas.microsoft.com/office/word/2010/wordprocessingShape">
                    <wps:wsp>
                      <wps:cNvPr id="1028" name="テキスト ボックス 3"/>
                      <wps:cNvSpPr txBox="1">
                        <a:spLocks noChangeArrowheads="1"/>
                      </wps:cNvSpPr>
                      <wps:spPr>
                        <a:xfrm>
                          <a:off x="0" y="0"/>
                          <a:ext cx="6386195" cy="899160"/>
                        </a:xfrm>
                        <a:prstGeom prst="rect">
                          <a:avLst/>
                        </a:prstGeom>
                        <a:solidFill>
                          <a:srgbClr val="FFFFFF"/>
                        </a:solidFill>
                        <a:ln w="9525">
                          <a:solidFill>
                            <a:srgbClr val="000000"/>
                          </a:solidFill>
                          <a:miter lim="800000"/>
                          <a:headEnd/>
                          <a:tailEnd/>
                        </a:ln>
                      </wps:spPr>
                      <wps:txbx>
                        <w:txbxContent>
                          <w:p>
                            <w:pPr>
                              <w:pStyle w:val="0"/>
                              <w:ind w:left="0" w:leftChars="0" w:firstLine="0" w:firstLineChars="0"/>
                              <w:rPr>
                                <w:rFonts w:hint="default"/>
                              </w:rPr>
                            </w:pPr>
                            <w:r>
                              <w:rPr>
                                <w:rFonts w:hint="eastAsia"/>
                              </w:rPr>
                              <w:t>運行区間：伊勢市内宮～五十鈴川駅間の自動運転レベル２による運行</w:t>
                            </w:r>
                          </w:p>
                          <w:p>
                            <w:pPr>
                              <w:pStyle w:val="0"/>
                              <w:ind w:left="0" w:leftChars="0" w:firstLine="0" w:firstLineChars="0"/>
                              <w:rPr>
                                <w:rFonts w:hint="default"/>
                              </w:rPr>
                            </w:pPr>
                            <w:r>
                              <w:rPr>
                                <w:rFonts w:hint="eastAsia"/>
                              </w:rPr>
                              <w:t>運行期間：</w:t>
                            </w:r>
                            <w:r>
                              <w:rPr>
                                <w:rFonts w:hint="eastAsia"/>
                              </w:rPr>
                              <w:t>2025</w:t>
                            </w:r>
                            <w:r>
                              <w:rPr>
                                <w:rFonts w:hint="eastAsia"/>
                              </w:rPr>
                              <w:t>年</w:t>
                            </w:r>
                            <w:r>
                              <w:rPr>
                                <w:rFonts w:hint="eastAsia"/>
                              </w:rPr>
                              <w:t>12</w:t>
                            </w:r>
                            <w:r>
                              <w:rPr>
                                <w:rFonts w:hint="eastAsia"/>
                              </w:rPr>
                              <w:t>月</w:t>
                            </w:r>
                            <w:r>
                              <w:rPr>
                                <w:rFonts w:hint="eastAsia"/>
                              </w:rPr>
                              <w:t>15</w:t>
                            </w:r>
                            <w:r>
                              <w:rPr>
                                <w:rFonts w:hint="eastAsia"/>
                              </w:rPr>
                              <w:t>日～</w:t>
                            </w:r>
                            <w:r>
                              <w:rPr>
                                <w:rFonts w:hint="eastAsia"/>
                              </w:rPr>
                              <w:t>26</w:t>
                            </w:r>
                            <w:r>
                              <w:rPr>
                                <w:rFonts w:hint="eastAsia"/>
                              </w:rPr>
                              <w:t>日（土曜日を除く）</w:t>
                            </w:r>
                            <w:r>
                              <w:rPr>
                                <w:rFonts w:hint="eastAsia"/>
                              </w:rPr>
                              <w:t>11</w:t>
                            </w:r>
                            <w:r>
                              <w:rPr>
                                <w:rFonts w:hint="eastAsia"/>
                              </w:rPr>
                              <w:t>日間</w:t>
                            </w:r>
                          </w:p>
                          <w:p>
                            <w:pPr>
                              <w:pStyle w:val="0"/>
                              <w:ind w:left="0" w:leftChars="0" w:firstLine="0" w:firstLineChars="0"/>
                              <w:rPr>
                                <w:rFonts w:hint="default"/>
                              </w:rPr>
                            </w:pPr>
                            <w:r>
                              <w:rPr>
                                <w:rFonts w:hint="eastAsia"/>
                              </w:rPr>
                              <w:t>運行車両：自動運転用の小型</w:t>
                            </w:r>
                            <w:r>
                              <w:rPr>
                                <w:rFonts w:hint="eastAsia"/>
                              </w:rPr>
                              <w:t>EV</w:t>
                            </w:r>
                            <w:r>
                              <w:rPr>
                                <w:rFonts w:hint="eastAsia"/>
                              </w:rPr>
                              <w:t>バス</w:t>
                            </w:r>
                          </w:p>
                          <w:p>
                            <w:pPr>
                              <w:pStyle w:val="0"/>
                              <w:ind w:left="0" w:leftChars="0" w:firstLine="0" w:firstLineChars="0"/>
                              <w:rPr>
                                <w:rFonts w:hint="default"/>
                              </w:rPr>
                            </w:pPr>
                            <w:r>
                              <w:rPr>
                                <w:rFonts w:hint="eastAsia"/>
                              </w:rPr>
                              <w:t>遠隔監視：同一交通事業者による三重県桑名市との同時遠隔監視検証の実施</w:t>
                            </w:r>
                          </w:p>
                          <w:p>
                            <w:pPr>
                              <w:pStyle w:val="0"/>
                              <w:ind w:left="0" w:leftChars="0" w:firstLine="0" w:firstLineChars="0"/>
                              <w:rPr>
                                <w:rFonts w:hint="default"/>
                              </w:rPr>
                            </w:pP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3" style="mso-position-vertical-relative:text;z-index:7;mso-wrap-distance-left:9pt;width:502.85pt;height:70.8pt;mso-wrap-mode:square;mso-position-horizontal-relative:text;position:absolute;margin-left:4.84pt;margin-top:22.05pt;mso-wrap-distance-bottom:3.6pt;mso-wrap-distance-right:9pt;mso-wrap-distance-top:3.6pt;v-text-anchor:top;" o:spid="_x0000_s1028"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ind w:left="0" w:leftChars="0" w:firstLine="0" w:firstLineChars="0"/>
                        <w:rPr>
                          <w:rFonts w:hint="default"/>
                        </w:rPr>
                      </w:pPr>
                      <w:r>
                        <w:rPr>
                          <w:rFonts w:hint="eastAsia"/>
                        </w:rPr>
                        <w:t>運行区間：伊勢市内宮～五十鈴川駅間の自動運転レベル２による運行</w:t>
                      </w:r>
                    </w:p>
                    <w:p>
                      <w:pPr>
                        <w:pStyle w:val="0"/>
                        <w:ind w:left="0" w:leftChars="0" w:firstLine="0" w:firstLineChars="0"/>
                        <w:rPr>
                          <w:rFonts w:hint="default"/>
                        </w:rPr>
                      </w:pPr>
                      <w:r>
                        <w:rPr>
                          <w:rFonts w:hint="eastAsia"/>
                        </w:rPr>
                        <w:t>運行期間：</w:t>
                      </w:r>
                      <w:r>
                        <w:rPr>
                          <w:rFonts w:hint="eastAsia"/>
                        </w:rPr>
                        <w:t>2025</w:t>
                      </w:r>
                      <w:r>
                        <w:rPr>
                          <w:rFonts w:hint="eastAsia"/>
                        </w:rPr>
                        <w:t>年</w:t>
                      </w:r>
                      <w:r>
                        <w:rPr>
                          <w:rFonts w:hint="eastAsia"/>
                        </w:rPr>
                        <w:t>12</w:t>
                      </w:r>
                      <w:r>
                        <w:rPr>
                          <w:rFonts w:hint="eastAsia"/>
                        </w:rPr>
                        <w:t>月</w:t>
                      </w:r>
                      <w:r>
                        <w:rPr>
                          <w:rFonts w:hint="eastAsia"/>
                        </w:rPr>
                        <w:t>15</w:t>
                      </w:r>
                      <w:r>
                        <w:rPr>
                          <w:rFonts w:hint="eastAsia"/>
                        </w:rPr>
                        <w:t>日～</w:t>
                      </w:r>
                      <w:r>
                        <w:rPr>
                          <w:rFonts w:hint="eastAsia"/>
                        </w:rPr>
                        <w:t>26</w:t>
                      </w:r>
                      <w:r>
                        <w:rPr>
                          <w:rFonts w:hint="eastAsia"/>
                        </w:rPr>
                        <w:t>日（土曜日を除く）</w:t>
                      </w:r>
                      <w:r>
                        <w:rPr>
                          <w:rFonts w:hint="eastAsia"/>
                        </w:rPr>
                        <w:t>11</w:t>
                      </w:r>
                      <w:r>
                        <w:rPr>
                          <w:rFonts w:hint="eastAsia"/>
                        </w:rPr>
                        <w:t>日間</w:t>
                      </w:r>
                    </w:p>
                    <w:p>
                      <w:pPr>
                        <w:pStyle w:val="0"/>
                        <w:ind w:left="0" w:leftChars="0" w:firstLine="0" w:firstLineChars="0"/>
                        <w:rPr>
                          <w:rFonts w:hint="default"/>
                        </w:rPr>
                      </w:pPr>
                      <w:r>
                        <w:rPr>
                          <w:rFonts w:hint="eastAsia"/>
                        </w:rPr>
                        <w:t>運行車両：自動運転用の小型</w:t>
                      </w:r>
                      <w:r>
                        <w:rPr>
                          <w:rFonts w:hint="eastAsia"/>
                        </w:rPr>
                        <w:t>EV</w:t>
                      </w:r>
                      <w:r>
                        <w:rPr>
                          <w:rFonts w:hint="eastAsia"/>
                        </w:rPr>
                        <w:t>バス</w:t>
                      </w:r>
                    </w:p>
                    <w:p>
                      <w:pPr>
                        <w:pStyle w:val="0"/>
                        <w:ind w:left="0" w:leftChars="0" w:firstLine="0" w:firstLineChars="0"/>
                        <w:rPr>
                          <w:rFonts w:hint="default"/>
                        </w:rPr>
                      </w:pPr>
                      <w:r>
                        <w:rPr>
                          <w:rFonts w:hint="eastAsia"/>
                        </w:rPr>
                        <w:t>遠隔監視：同一交通事業者による三重県桑名市との同時遠隔監視検証の実施</w:t>
                      </w:r>
                    </w:p>
                    <w:p>
                      <w:pPr>
                        <w:pStyle w:val="0"/>
                        <w:ind w:left="0" w:leftChars="0" w:firstLine="0" w:firstLineChars="0"/>
                        <w:rPr>
                          <w:rFonts w:hint="default"/>
                        </w:rPr>
                      </w:pPr>
                    </w:p>
                  </w:txbxContent>
                </v:textbox>
                <v:imagedata o:title=""/>
                <w10:wrap type="square" side="both" anchorx="text" anchory="text"/>
              </v:shape>
            </w:pict>
          </mc:Fallback>
        </mc:AlternateContent>
      </w:r>
      <w:r>
        <w:rPr>
          <w:rFonts w:hint="eastAsia"/>
          <w:b w:val="1"/>
          <w:spacing w:val="-4"/>
          <w:sz w:val="26"/>
        </w:rPr>
        <w:t>【事業内容】</w:t>
      </w:r>
    </w:p>
    <w:p>
      <w:pPr>
        <w:pStyle w:val="0"/>
        <w:ind w:left="0" w:leftChars="0" w:firstLine="0" w:firstLineChars="0"/>
        <w:rPr>
          <w:rFonts w:hint="default"/>
          <w:b w:val="1"/>
          <w:spacing w:val="-4"/>
          <w:sz w:val="6"/>
        </w:rPr>
      </w:pPr>
    </w:p>
    <w:p>
      <w:pPr>
        <w:pStyle w:val="0"/>
        <w:ind w:left="0" w:leftChars="0" w:firstLine="0" w:firstLineChars="0"/>
        <w:rPr>
          <w:rFonts w:hint="default"/>
          <w:spacing w:val="-4"/>
        </w:rPr>
        <w:sectPr>
          <w:footerReference r:id="rId6" w:type="default"/>
          <w:type w:val="continuous"/>
          <w:pgSz w:w="11910" w:h="16840"/>
          <w:pgMar w:top="851" w:right="851" w:bottom="567" w:left="851" w:header="720" w:footer="720" w:gutter="0"/>
          <w:cols w:space="720"/>
          <w:textDirection w:val="lrTb"/>
          <w:docGrid w:linePitch="299"/>
        </w:sectPr>
      </w:pPr>
      <w:r>
        <w:rPr>
          <w:rFonts w:hint="eastAsia"/>
        </w:rPr>
        <mc:AlternateContent>
          <mc:Choice Requires="wps">
            <w:drawing>
              <wp:anchor distT="45720" distB="45720" distL="114300" distR="114300" simplePos="0" relativeHeight="8" behindDoc="0" locked="0" layoutInCell="1" hidden="0" allowOverlap="1">
                <wp:simplePos x="0" y="0"/>
                <wp:positionH relativeFrom="column">
                  <wp:posOffset>61595</wp:posOffset>
                </wp:positionH>
                <wp:positionV relativeFrom="paragraph">
                  <wp:posOffset>285115</wp:posOffset>
                </wp:positionV>
                <wp:extent cx="6386195" cy="5371465"/>
                <wp:effectExtent l="635" t="635" r="29845" b="10795"/>
                <wp:wrapSquare wrapText="bothSides"/>
                <wp:docPr id="1029" name="テキスト ボックス 4"/>
                <a:graphic xmlns:a="http://schemas.openxmlformats.org/drawingml/2006/main">
                  <a:graphicData uri="http://schemas.microsoft.com/office/word/2010/wordprocessingShape">
                    <wps:wsp>
                      <wps:cNvPr id="1029" name="テキスト ボックス 4"/>
                      <wps:cNvSpPr txBox="1">
                        <a:spLocks noChangeArrowheads="1"/>
                      </wps:cNvSpPr>
                      <wps:spPr>
                        <a:xfrm>
                          <a:off x="0" y="0"/>
                          <a:ext cx="6386195" cy="5371465"/>
                        </a:xfrm>
                        <a:prstGeom prst="rect">
                          <a:avLst/>
                        </a:prstGeom>
                        <a:solidFill>
                          <a:srgbClr val="FFFFFF"/>
                        </a:solidFill>
                        <a:ln w="9525">
                          <a:solidFill>
                            <a:srgbClr val="000000"/>
                          </a:solidFill>
                          <a:miter lim="800000"/>
                          <a:headEnd/>
                          <a:tailEnd/>
                        </a:ln>
                      </wps:spPr>
                      <wps:txbx>
                        <w:txbxContent>
                          <w:p>
                            <w:pPr>
                              <w:pStyle w:val="0"/>
                              <w:ind w:left="0" w:leftChars="0" w:firstLine="0" w:firstLineChars="0"/>
                              <w:rPr>
                                <w:rFonts w:hint="default"/>
                              </w:rPr>
                            </w:pPr>
                            <w:r>
                              <w:rPr>
                                <w:rFonts w:hint="eastAsia"/>
                              </w:rPr>
                              <w:t>※経営面・技術面・社会受容性面の主要な検証項目について、検証方法を記入してください</w:t>
                            </w:r>
                          </w:p>
                          <w:p>
                            <w:pPr>
                              <w:pStyle w:val="0"/>
                              <w:ind w:left="0" w:leftChars="0" w:firstLine="0" w:firstLineChars="0"/>
                              <w:rPr>
                                <w:rFonts w:hint="default"/>
                              </w:rPr>
                            </w:pPr>
                            <w:r>
                              <w:rPr>
                                <w:rFonts w:hint="eastAsia"/>
                              </w:rPr>
                              <w:t>※</w:t>
                            </w:r>
                            <w:r>
                              <w:rPr>
                                <w:rFonts w:hint="eastAsia"/>
                              </w:rPr>
                              <w:t>1</w:t>
                            </w:r>
                            <w:r>
                              <w:rPr>
                                <w:rFonts w:hint="eastAsia"/>
                              </w:rPr>
                              <w:t>ページ目に収まる範囲であれば、列の追加・消去は可能です</w:t>
                            </w:r>
                          </w:p>
                          <w:tbl>
                            <w:tblPr>
                              <w:tblStyle w:val="61"/>
                              <w:tblW w:w="9760" w:type="dxa"/>
                              <w:tblInd w:w="0" w:type="dxa"/>
                              <w:tblLayout w:type="fixed"/>
                              <w:tblCellMar>
                                <w:top w:w="73" w:type="dxa"/>
                                <w:left w:w="107" w:type="dxa"/>
                                <w:right w:w="115" w:type="dxa"/>
                              </w:tblCellMar>
                              <w:tblLook w:firstRow="1" w:lastRow="0" w:firstColumn="1" w:lastColumn="0" w:noHBand="0" w:noVBand="1" w:val="04A0"/>
                            </w:tblPr>
                            <w:tblGrid>
                              <w:gridCol w:w="704"/>
                              <w:gridCol w:w="3260"/>
                              <w:gridCol w:w="5796"/>
                            </w:tblGrid>
                            <w:tr>
                              <w:trPr>
                                <w:trHeight w:val="368" w:hRule="atLeast"/>
                              </w:trPr>
                              <w:tc>
                                <w:tcPr>
                                  <w:tcW w:w="704"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項目</w:t>
                                  </w:r>
                                </w:p>
                              </w:tc>
                              <w:tc>
                                <w:tcPr>
                                  <w:tcW w:w="32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検証項目</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検証方法</w:t>
                                  </w:r>
                                </w:p>
                              </w:tc>
                            </w:tr>
                            <w:tr>
                              <w:trPr>
                                <w:cantSplit/>
                                <w:trHeight w:val="794" w:hRule="atLeast"/>
                              </w:trPr>
                              <w:tc>
                                <w:tcPr>
                                  <w:tcW w:w="70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経営面</w:t>
                                  </w: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color w:val="000000" w:themeColor="text1"/>
                                    </w:rPr>
                                    <w:t>効率的な遠隔監視の体制構築に向けた検証</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color w:val="000000" w:themeColor="text1"/>
                                    </w:rPr>
                                    <w:t>本実証で遠隔監視を対応する三重交通において、同時期に行う桑名市での自動運転実証と合わせて本実証の遠隔監視を行い運用フローについて検証することで、将来的な事業体制に必要な情報を整理する。</w:t>
                                  </w:r>
                                </w:p>
                              </w:tc>
                            </w:tr>
                            <w:tr>
                              <w:trPr>
                                <w:cantSplit/>
                                <w:trHeight w:val="794" w:hRule="atLeast"/>
                              </w:trPr>
                              <w:tc>
                                <w:tcPr>
                                  <w:tcW w:w="704" w:type="dxa"/>
                                  <w:vMerge w:val="restart"/>
                                  <w:tcBorders>
                                    <w:top w:val="single" w:color="auto" w:sz="4"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技術面</w:t>
                                  </w: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default"/>
                                    </w:rPr>
                                  </w:pPr>
                                  <w:r>
                                    <w:rPr>
                                      <w:rFonts w:hint="eastAsia"/>
                                    </w:rPr>
                                    <w:t>レベル</w:t>
                                  </w:r>
                                  <w:r>
                                    <w:rPr>
                                      <w:rFonts w:hint="eastAsia"/>
                                    </w:rPr>
                                    <w:t>4</w:t>
                                  </w:r>
                                  <w:r>
                                    <w:rPr>
                                      <w:rFonts w:hint="eastAsia"/>
                                    </w:rPr>
                                    <w:t>走行に向けて交差点の右折の成功割合の検証</w:t>
                                  </w:r>
                                </w:p>
                                <w:p>
                                  <w:pPr>
                                    <w:pStyle w:val="0"/>
                                    <w:spacing w:line="259" w:lineRule="auto"/>
                                    <w:ind w:left="0" w:leftChars="0" w:firstLine="0" w:firstLineChars="0"/>
                                    <w:rPr>
                                      <w:rFonts w:hint="default"/>
                                    </w:rPr>
                                  </w:pP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右折時の介入要因のデータを取得し、分析する。</w:t>
                                  </w:r>
                                </w:p>
                              </w:tc>
                            </w:tr>
                            <w:tr>
                              <w:trPr>
                                <w:cantSplit/>
                                <w:trHeight w:val="794" w:hRule="atLeast"/>
                              </w:trPr>
                              <w:tc>
                                <w:tcPr>
                                  <w:tcW w:w="704"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default"/>
                                    </w:rPr>
                                  </w:pPr>
                                  <w:r>
                                    <w:rPr>
                                      <w:rFonts w:hint="eastAsia"/>
                                    </w:rPr>
                                    <w:t>レベル</w:t>
                                  </w:r>
                                  <w:r>
                                    <w:rPr>
                                      <w:rFonts w:hint="eastAsia"/>
                                    </w:rPr>
                                    <w:t>4</w:t>
                                  </w:r>
                                  <w:r>
                                    <w:rPr>
                                      <w:rFonts w:hint="eastAsia"/>
                                    </w:rPr>
                                    <w:t>走行に向けて路駐車回避の成功割合の検証</w:t>
                                  </w:r>
                                  <w:r>
                                    <w:rPr>
                                      <w:rFonts w:hint="eastAsia"/>
                                    </w:rPr>
                                    <w:t xml:space="preserve"> </w:t>
                                  </w:r>
                                </w:p>
                                <w:p>
                                  <w:pPr>
                                    <w:pStyle w:val="0"/>
                                    <w:spacing w:line="259" w:lineRule="auto"/>
                                    <w:ind w:left="0" w:leftChars="0" w:firstLine="0" w:firstLineChars="0"/>
                                    <w:rPr>
                                      <w:rFonts w:hint="default"/>
                                    </w:rPr>
                                  </w:pP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default"/>
                                    </w:rPr>
                                  </w:pPr>
                                  <w:r>
                                    <w:rPr>
                                      <w:rFonts w:hint="eastAsia"/>
                                    </w:rPr>
                                    <w:t>車両の路駐車機能の実績のデータを取得し、分析する。</w:t>
                                  </w:r>
                                </w:p>
                                <w:p>
                                  <w:pPr>
                                    <w:pStyle w:val="0"/>
                                    <w:spacing w:line="259" w:lineRule="auto"/>
                                    <w:ind w:left="0" w:leftChars="0" w:firstLine="0" w:firstLineChars="0"/>
                                    <w:rPr>
                                      <w:rFonts w:hint="default"/>
                                    </w:rPr>
                                  </w:pPr>
                                </w:p>
                              </w:tc>
                            </w:tr>
                            <w:tr>
                              <w:trPr>
                                <w:cantSplit/>
                                <w:trHeight w:val="794" w:hRule="atLeast"/>
                              </w:trPr>
                              <w:tc>
                                <w:tcPr>
                                  <w:tcW w:w="704"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default"/>
                                    </w:rPr>
                                  </w:pPr>
                                  <w:r>
                                    <w:rPr>
                                      <w:rFonts w:hint="eastAsia"/>
                                    </w:rPr>
                                    <w:t>レベル</w:t>
                                  </w:r>
                                  <w:r>
                                    <w:rPr>
                                      <w:rFonts w:hint="eastAsia"/>
                                    </w:rPr>
                                    <w:t>4</w:t>
                                  </w:r>
                                  <w:r>
                                    <w:rPr>
                                      <w:rFonts w:hint="eastAsia"/>
                                    </w:rPr>
                                    <w:t>走行に向けて通信の安定化の検証</w:t>
                                  </w:r>
                                  <w:r>
                                    <w:rPr>
                                      <w:rFonts w:hint="eastAsia"/>
                                    </w:rPr>
                                    <w:t xml:space="preserve"> </w:t>
                                  </w:r>
                                </w:p>
                                <w:p>
                                  <w:pPr>
                                    <w:pStyle w:val="0"/>
                                    <w:spacing w:line="259" w:lineRule="auto"/>
                                    <w:ind w:left="0" w:leftChars="0" w:firstLine="0" w:firstLineChars="0"/>
                                    <w:rPr>
                                      <w:rFonts w:hint="default"/>
                                    </w:rPr>
                                  </w:pP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default"/>
                                    </w:rPr>
                                  </w:pPr>
                                  <w:r>
                                    <w:rPr>
                                      <w:rFonts w:hint="eastAsia"/>
                                    </w:rPr>
                                    <w:t>交通事業者によって自動運転の経路配信業務を実施して記録をつける。</w:t>
                                  </w:r>
                                </w:p>
                                <w:p>
                                  <w:pPr>
                                    <w:pStyle w:val="0"/>
                                    <w:spacing w:line="259" w:lineRule="auto"/>
                                    <w:ind w:left="0" w:leftChars="0" w:firstLine="0" w:firstLineChars="0"/>
                                    <w:rPr>
                                      <w:rFonts w:hint="default"/>
                                    </w:rPr>
                                  </w:pPr>
                                </w:p>
                              </w:tc>
                            </w:tr>
                            <w:tr>
                              <w:trPr>
                                <w:cantSplit/>
                                <w:trHeight w:val="794" w:hRule="atLeast"/>
                              </w:trPr>
                              <w:tc>
                                <w:tcPr>
                                  <w:tcW w:w="704" w:type="dxa"/>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default"/>
                                    </w:rPr>
                                  </w:pPr>
                                  <w:r>
                                    <w:rPr>
                                      <w:rFonts w:hint="eastAsia"/>
                                    </w:rPr>
                                    <w:t>レベル</w:t>
                                  </w:r>
                                  <w:r>
                                    <w:rPr>
                                      <w:rFonts w:hint="eastAsia"/>
                                    </w:rPr>
                                    <w:t>4</w:t>
                                  </w:r>
                                  <w:r>
                                    <w:rPr>
                                      <w:rFonts w:hint="eastAsia"/>
                                    </w:rPr>
                                    <w:t>許認可の取得にむけた遠隔監視および遠隔管制を模擬した運行</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遠隔監視型の運行管制の実施し、運用フローを取りまとめる。</w:t>
                                  </w:r>
                                </w:p>
                              </w:tc>
                            </w:tr>
                            <w:tr>
                              <w:trPr>
                                <w:cantSplit/>
                                <w:trHeight w:val="794" w:hRule="atLeast"/>
                              </w:trPr>
                              <w:tc>
                                <w:tcPr>
                                  <w:tcW w:w="70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社会受容性面</w:t>
                                  </w: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自動運転車両のある交通体系を地元住民の方に対しての理解度を高める。</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アンケート調査により住民の認知度状況を図る。</w:t>
                                  </w:r>
                                </w:p>
                              </w:tc>
                            </w:tr>
                          </w:tbl>
                          <w:p>
                            <w:pPr>
                              <w:pStyle w:val="0"/>
                              <w:ind w:left="0" w:leftChars="0" w:firstLine="0" w:firstLineChars="0"/>
                              <w:rPr>
                                <w:rFonts w:hint="default"/>
                              </w:rPr>
                            </w:pP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4" style="mso-position-vertical-relative:text;z-index:8;mso-wrap-distance-left:9pt;width:502.85pt;height:422.95pt;mso-wrap-mode:square;mso-position-horizontal-relative:text;position:absolute;margin-left:4.84pt;margin-top:22.45pt;mso-wrap-distance-bottom:3.6pt;mso-wrap-distance-right:9pt;mso-wrap-distance-top:3.6pt;v-text-anchor:top;" o:spid="_x0000_s1029"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ind w:left="0" w:leftChars="0" w:firstLine="0" w:firstLineChars="0"/>
                        <w:rPr>
                          <w:rFonts w:hint="default"/>
                        </w:rPr>
                      </w:pPr>
                      <w:r>
                        <w:rPr>
                          <w:rFonts w:hint="eastAsia"/>
                        </w:rPr>
                        <w:t>※経営面・技術面・社会受容性面の主要な検証項目について、検証方法を記入してください</w:t>
                      </w:r>
                    </w:p>
                    <w:p>
                      <w:pPr>
                        <w:pStyle w:val="0"/>
                        <w:ind w:left="0" w:leftChars="0" w:firstLine="0" w:firstLineChars="0"/>
                        <w:rPr>
                          <w:rFonts w:hint="default"/>
                        </w:rPr>
                      </w:pPr>
                      <w:r>
                        <w:rPr>
                          <w:rFonts w:hint="eastAsia"/>
                        </w:rPr>
                        <w:t>※</w:t>
                      </w:r>
                      <w:r>
                        <w:rPr>
                          <w:rFonts w:hint="eastAsia"/>
                        </w:rPr>
                        <w:t>1</w:t>
                      </w:r>
                      <w:r>
                        <w:rPr>
                          <w:rFonts w:hint="eastAsia"/>
                        </w:rPr>
                        <w:t>ページ目に収まる範囲であれば、列の追加・消去は可能です</w:t>
                      </w:r>
                    </w:p>
                    <w:tbl>
                      <w:tblPr>
                        <w:tblStyle w:val="61"/>
                        <w:tblW w:w="9760" w:type="dxa"/>
                        <w:tblInd w:w="0" w:type="dxa"/>
                        <w:tblLayout w:type="fixed"/>
                        <w:tblCellMar>
                          <w:top w:w="73" w:type="dxa"/>
                          <w:left w:w="107" w:type="dxa"/>
                          <w:right w:w="115" w:type="dxa"/>
                        </w:tblCellMar>
                        <w:tblLook w:firstRow="1" w:lastRow="0" w:firstColumn="1" w:lastColumn="0" w:noHBand="0" w:noVBand="1" w:val="04A0"/>
                      </w:tblPr>
                      <w:tblGrid>
                        <w:gridCol w:w="704"/>
                        <w:gridCol w:w="3260"/>
                        <w:gridCol w:w="5796"/>
                      </w:tblGrid>
                      <w:tr>
                        <w:trPr>
                          <w:trHeight w:val="368" w:hRule="atLeast"/>
                        </w:trPr>
                        <w:tc>
                          <w:tcPr>
                            <w:tcW w:w="704"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項目</w:t>
                            </w:r>
                          </w:p>
                        </w:tc>
                        <w:tc>
                          <w:tcPr>
                            <w:tcW w:w="32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検証項目</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検証方法</w:t>
                            </w:r>
                          </w:p>
                        </w:tc>
                      </w:tr>
                      <w:tr>
                        <w:trPr>
                          <w:cantSplit/>
                          <w:trHeight w:val="794" w:hRule="atLeast"/>
                        </w:trPr>
                        <w:tc>
                          <w:tcPr>
                            <w:tcW w:w="70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経営面</w:t>
                            </w: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color w:val="000000" w:themeColor="text1"/>
                              </w:rPr>
                              <w:t>効率的な遠隔監視の体制構築に向けた検証</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color w:val="000000" w:themeColor="text1"/>
                              </w:rPr>
                              <w:t>本実証で遠隔監視を対応する三重交通において、同時期に行う桑名市での自動運転実証と合わせて本実証の遠隔監視を行い運用フローについて検証することで、将来的な事業体制に必要な情報を整理する。</w:t>
                            </w:r>
                          </w:p>
                        </w:tc>
                      </w:tr>
                      <w:tr>
                        <w:trPr>
                          <w:cantSplit/>
                          <w:trHeight w:val="794" w:hRule="atLeast"/>
                        </w:trPr>
                        <w:tc>
                          <w:tcPr>
                            <w:tcW w:w="704" w:type="dxa"/>
                            <w:vMerge w:val="restart"/>
                            <w:tcBorders>
                              <w:top w:val="single" w:color="auto" w:sz="4"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技術面</w:t>
                            </w: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default"/>
                              </w:rPr>
                            </w:pPr>
                            <w:r>
                              <w:rPr>
                                <w:rFonts w:hint="eastAsia"/>
                              </w:rPr>
                              <w:t>レベル</w:t>
                            </w:r>
                            <w:r>
                              <w:rPr>
                                <w:rFonts w:hint="eastAsia"/>
                              </w:rPr>
                              <w:t>4</w:t>
                            </w:r>
                            <w:r>
                              <w:rPr>
                                <w:rFonts w:hint="eastAsia"/>
                              </w:rPr>
                              <w:t>走行に向けて交差点の右折の成功割合の検証</w:t>
                            </w:r>
                          </w:p>
                          <w:p>
                            <w:pPr>
                              <w:pStyle w:val="0"/>
                              <w:spacing w:line="259" w:lineRule="auto"/>
                              <w:ind w:left="0" w:leftChars="0" w:firstLine="0" w:firstLineChars="0"/>
                              <w:rPr>
                                <w:rFonts w:hint="default"/>
                              </w:rPr>
                            </w:pP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右折時の介入要因のデータを取得し、分析する。</w:t>
                            </w:r>
                          </w:p>
                        </w:tc>
                      </w:tr>
                      <w:tr>
                        <w:trPr>
                          <w:cantSplit/>
                          <w:trHeight w:val="794" w:hRule="atLeast"/>
                        </w:trPr>
                        <w:tc>
                          <w:tcPr>
                            <w:tcW w:w="704"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default"/>
                              </w:rPr>
                            </w:pPr>
                            <w:r>
                              <w:rPr>
                                <w:rFonts w:hint="eastAsia"/>
                              </w:rPr>
                              <w:t>レベル</w:t>
                            </w:r>
                            <w:r>
                              <w:rPr>
                                <w:rFonts w:hint="eastAsia"/>
                              </w:rPr>
                              <w:t>4</w:t>
                            </w:r>
                            <w:r>
                              <w:rPr>
                                <w:rFonts w:hint="eastAsia"/>
                              </w:rPr>
                              <w:t>走行に向けて路駐車回避の成功割合の検証</w:t>
                            </w:r>
                            <w:r>
                              <w:rPr>
                                <w:rFonts w:hint="eastAsia"/>
                              </w:rPr>
                              <w:t xml:space="preserve"> </w:t>
                            </w:r>
                          </w:p>
                          <w:p>
                            <w:pPr>
                              <w:pStyle w:val="0"/>
                              <w:spacing w:line="259" w:lineRule="auto"/>
                              <w:ind w:left="0" w:leftChars="0" w:firstLine="0" w:firstLineChars="0"/>
                              <w:rPr>
                                <w:rFonts w:hint="default"/>
                              </w:rPr>
                            </w:pP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default"/>
                              </w:rPr>
                            </w:pPr>
                            <w:r>
                              <w:rPr>
                                <w:rFonts w:hint="eastAsia"/>
                              </w:rPr>
                              <w:t>車両の路駐車機能の実績のデータを取得し、分析する。</w:t>
                            </w:r>
                          </w:p>
                          <w:p>
                            <w:pPr>
                              <w:pStyle w:val="0"/>
                              <w:spacing w:line="259" w:lineRule="auto"/>
                              <w:ind w:left="0" w:leftChars="0" w:firstLine="0" w:firstLineChars="0"/>
                              <w:rPr>
                                <w:rFonts w:hint="default"/>
                              </w:rPr>
                            </w:pPr>
                          </w:p>
                        </w:tc>
                      </w:tr>
                      <w:tr>
                        <w:trPr>
                          <w:cantSplit/>
                          <w:trHeight w:val="794" w:hRule="atLeast"/>
                        </w:trPr>
                        <w:tc>
                          <w:tcPr>
                            <w:tcW w:w="704"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default"/>
                              </w:rPr>
                            </w:pPr>
                            <w:r>
                              <w:rPr>
                                <w:rFonts w:hint="eastAsia"/>
                              </w:rPr>
                              <w:t>レベル</w:t>
                            </w:r>
                            <w:r>
                              <w:rPr>
                                <w:rFonts w:hint="eastAsia"/>
                              </w:rPr>
                              <w:t>4</w:t>
                            </w:r>
                            <w:r>
                              <w:rPr>
                                <w:rFonts w:hint="eastAsia"/>
                              </w:rPr>
                              <w:t>走行に向けて通信の安定化の検証</w:t>
                            </w:r>
                            <w:r>
                              <w:rPr>
                                <w:rFonts w:hint="eastAsia"/>
                              </w:rPr>
                              <w:t xml:space="preserve"> </w:t>
                            </w:r>
                          </w:p>
                          <w:p>
                            <w:pPr>
                              <w:pStyle w:val="0"/>
                              <w:spacing w:line="259" w:lineRule="auto"/>
                              <w:ind w:left="0" w:leftChars="0" w:firstLine="0" w:firstLineChars="0"/>
                              <w:rPr>
                                <w:rFonts w:hint="default"/>
                              </w:rPr>
                            </w:pP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default"/>
                              </w:rPr>
                            </w:pPr>
                            <w:r>
                              <w:rPr>
                                <w:rFonts w:hint="eastAsia"/>
                              </w:rPr>
                              <w:t>交通事業者によって自動運転の経路配信業務を実施して記録をつける。</w:t>
                            </w:r>
                          </w:p>
                          <w:p>
                            <w:pPr>
                              <w:pStyle w:val="0"/>
                              <w:spacing w:line="259" w:lineRule="auto"/>
                              <w:ind w:left="0" w:leftChars="0" w:firstLine="0" w:firstLineChars="0"/>
                              <w:rPr>
                                <w:rFonts w:hint="default"/>
                              </w:rPr>
                            </w:pPr>
                          </w:p>
                        </w:tc>
                      </w:tr>
                      <w:tr>
                        <w:trPr>
                          <w:cantSplit/>
                          <w:trHeight w:val="794" w:hRule="atLeast"/>
                        </w:trPr>
                        <w:tc>
                          <w:tcPr>
                            <w:tcW w:w="704" w:type="dxa"/>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default"/>
                              </w:rPr>
                            </w:pPr>
                            <w:r>
                              <w:rPr>
                                <w:rFonts w:hint="eastAsia"/>
                              </w:rPr>
                              <w:t>レベル</w:t>
                            </w:r>
                            <w:r>
                              <w:rPr>
                                <w:rFonts w:hint="eastAsia"/>
                              </w:rPr>
                              <w:t>4</w:t>
                            </w:r>
                            <w:r>
                              <w:rPr>
                                <w:rFonts w:hint="eastAsia"/>
                              </w:rPr>
                              <w:t>許認可の取得にむけた遠隔監視および遠隔管制を模擬した運行</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遠隔監視型の運行管制の実施し、運用フローを取りまとめる。</w:t>
                            </w:r>
                          </w:p>
                        </w:tc>
                      </w:tr>
                      <w:tr>
                        <w:trPr>
                          <w:cantSplit/>
                          <w:trHeight w:val="794" w:hRule="atLeast"/>
                        </w:trPr>
                        <w:tc>
                          <w:tcPr>
                            <w:tcW w:w="70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社会受容性面</w:t>
                            </w: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自動運転車両のある交通体系を地元住民の方に対しての理解度を高める。</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アンケート調査により住民の認知度状況を図る。</w:t>
                            </w:r>
                          </w:p>
                        </w:tc>
                      </w:tr>
                    </w:tbl>
                    <w:p>
                      <w:pPr>
                        <w:pStyle w:val="0"/>
                        <w:ind w:left="0" w:leftChars="0" w:firstLine="0" w:firstLineChars="0"/>
                        <w:rPr>
                          <w:rFonts w:hint="default"/>
                        </w:rPr>
                      </w:pPr>
                    </w:p>
                  </w:txbxContent>
                </v:textbox>
                <v:imagedata o:title=""/>
                <w10:wrap type="square" side="both" anchorx="text" anchory="text"/>
              </v:shape>
            </w:pict>
          </mc:Fallback>
        </mc:AlternateContent>
      </w:r>
      <w:r>
        <w:rPr>
          <w:rFonts w:hint="eastAsia"/>
          <w:b w:val="1"/>
          <w:spacing w:val="-4"/>
          <w:sz w:val="26"/>
        </w:rPr>
        <w:t>【検証項目・検証方法】</w:t>
      </w:r>
    </w:p>
    <w:p>
      <w:pPr>
        <w:pStyle w:val="0"/>
        <w:ind w:left="0" w:leftChars="0" w:firstLine="0" w:firstLineChars="0"/>
        <w:rPr>
          <w:rFonts w:hint="default"/>
        </w:rPr>
      </w:pPr>
      <w:r>
        <w:rPr>
          <w:rFonts w:hint="eastAsia"/>
          <w:b w:val="1"/>
          <w:spacing w:val="-4"/>
          <w:sz w:val="26"/>
        </w:rPr>
        <w:t>【検証・分析結果】</w:t>
      </w:r>
      <w:r>
        <w:rPr>
          <w:rFonts w:hint="eastAsia"/>
          <w:spacing w:val="-4"/>
          <w:sz w:val="26"/>
        </w:rPr>
        <w:t>　</w:t>
      </w:r>
      <w:r>
        <w:rPr>
          <w:rFonts w:hint="eastAsia"/>
          <w:spacing w:val="-4"/>
        </w:rPr>
        <w:t>（※前章【検証項目・検証方法】と連動した報告内容を記載ください）</w:t>
      </w:r>
    </w:p>
    <w:p>
      <w:pPr>
        <w:pStyle w:val="0"/>
        <w:ind w:left="0" w:leftChars="0" w:firstLine="0" w:firstLineChars="0"/>
        <w:rPr>
          <w:rFonts w:hint="default"/>
          <w:spacing w:val="-4"/>
        </w:rPr>
      </w:pPr>
    </w:p>
    <w:p>
      <w:pPr>
        <w:pStyle w:val="0"/>
        <w:ind w:left="0" w:leftChars="0" w:firstLine="0" w:firstLineChars="0"/>
        <w:rPr>
          <w:rFonts w:hint="default"/>
          <w:spacing w:val="-4"/>
        </w:rPr>
      </w:pPr>
      <w:r>
        <w:rPr>
          <w:rFonts w:hint="eastAsia"/>
        </w:rPr>
        <mc:AlternateContent>
          <mc:Choice Requires="wps">
            <w:drawing>
              <wp:anchor distT="45720" distB="45720" distL="114300" distR="114300" simplePos="0" relativeHeight="4" behindDoc="0" locked="0" layoutInCell="1" hidden="0" allowOverlap="1">
                <wp:simplePos x="0" y="0"/>
                <wp:positionH relativeFrom="column">
                  <wp:posOffset>635</wp:posOffset>
                </wp:positionH>
                <wp:positionV relativeFrom="paragraph">
                  <wp:posOffset>252730</wp:posOffset>
                </wp:positionV>
                <wp:extent cx="6386195" cy="2252980"/>
                <wp:effectExtent l="635" t="635" r="29845" b="10795"/>
                <wp:wrapSquare wrapText="bothSides"/>
                <wp:docPr id="1030" name="テキスト ボックス 6"/>
                <a:graphic xmlns:a="http://schemas.openxmlformats.org/drawingml/2006/main">
                  <a:graphicData uri="http://schemas.microsoft.com/office/word/2010/wordprocessingShape">
                    <wps:wsp>
                      <wps:cNvPr id="1030" name="テキスト ボックス 6"/>
                      <wps:cNvSpPr txBox="1">
                        <a:spLocks noChangeArrowheads="1"/>
                      </wps:cNvSpPr>
                      <wps:spPr>
                        <a:xfrm>
                          <a:off x="0" y="0"/>
                          <a:ext cx="6386195" cy="2252980"/>
                        </a:xfrm>
                        <a:prstGeom prst="rect">
                          <a:avLst/>
                        </a:prstGeom>
                        <a:solidFill>
                          <a:srgbClr val="FFFFFF"/>
                        </a:solidFill>
                        <a:ln w="9525">
                          <a:solidFill>
                            <a:srgbClr val="000000"/>
                          </a:solidFill>
                          <a:miter lim="800000"/>
                          <a:headEnd/>
                          <a:tailEnd/>
                        </a:ln>
                      </wps:spPr>
                      <wps:txbx>
                        <w:txbxContent>
                          <w:p>
                            <w:pPr>
                              <w:pStyle w:val="0"/>
                              <w:ind w:left="0" w:leftChars="0" w:firstLine="0" w:firstLineChars="0"/>
                              <w:rPr>
                                <w:rFonts w:hint="default"/>
                              </w:rPr>
                            </w:pPr>
                            <w:r>
                              <w:rPr>
                                <w:rFonts w:hint="eastAsia"/>
                              </w:rPr>
                              <w:t>レベル</w:t>
                            </w:r>
                            <w:r>
                              <w:rPr>
                                <w:rFonts w:hint="default"/>
                              </w:rPr>
                              <w:t>4</w:t>
                            </w:r>
                            <w:r>
                              <w:rPr>
                                <w:rFonts w:hint="default"/>
                              </w:rPr>
                              <w:t>無人旅客運送事業の実現に向け、交通事業者である三重交通株式会社の知見を取り入れ、遠隔監視体制のあり方を検証した。</w:t>
                            </w:r>
                            <w:r>
                              <w:rPr>
                                <w:rFonts w:hint="eastAsia"/>
                              </w:rPr>
                              <w:t>社会実装時には、複数拠点を一括監視することで省力化・効率化を図る必要があるという共通認識のもと、今回は同県内である桑名市との同時遠隔監視実証を行い、実運用をより具体的に見据えた検証を実施した。</w:t>
                            </w:r>
                          </w:p>
                          <w:p>
                            <w:pPr>
                              <w:pStyle w:val="0"/>
                              <w:ind w:left="0" w:leftChars="0" w:firstLine="0" w:firstLineChars="0"/>
                              <w:rPr>
                                <w:rFonts w:hint="default"/>
                              </w:rPr>
                            </w:pPr>
                          </w:p>
                          <w:p>
                            <w:pPr>
                              <w:pStyle w:val="0"/>
                              <w:ind w:left="0" w:leftChars="0" w:firstLine="0" w:firstLineChars="0"/>
                              <w:rPr>
                                <w:rFonts w:hint="default"/>
                              </w:rPr>
                            </w:pPr>
                            <w:r>
                              <w:rPr>
                                <w:rFonts w:hint="eastAsia"/>
                              </w:rPr>
                              <w:t>【実証の結果と今後の課題】</w:t>
                            </w:r>
                          </w:p>
                          <w:p>
                            <w:pPr>
                              <w:pStyle w:val="0"/>
                              <w:ind w:left="0" w:leftChars="0" w:firstLine="0" w:firstLineChars="0"/>
                              <w:rPr>
                                <w:rFonts w:hint="default"/>
                              </w:rPr>
                            </w:pPr>
                            <w:r>
                              <w:rPr>
                                <w:rFonts w:hint="eastAsia"/>
                              </w:rPr>
                              <w:t>インフラ整備：</w:t>
                            </w:r>
                            <w:r>
                              <w:rPr>
                                <w:rFonts w:hint="default"/>
                              </w:rPr>
                              <w:t xml:space="preserve"> 1</w:t>
                            </w:r>
                            <w:r>
                              <w:rPr>
                                <w:rFonts w:hint="default"/>
                              </w:rPr>
                              <w:t>：</w:t>
                            </w:r>
                            <w:r>
                              <w:rPr>
                                <w:rFonts w:hint="default"/>
                              </w:rPr>
                              <w:t>N</w:t>
                            </w:r>
                            <w:r>
                              <w:rPr>
                                <w:rFonts w:hint="default"/>
                              </w:rPr>
                              <w:t>（</w:t>
                            </w:r>
                            <w:r>
                              <w:rPr>
                                <w:rFonts w:hint="default"/>
                              </w:rPr>
                              <w:t>1</w:t>
                            </w:r>
                            <w:r>
                              <w:rPr>
                                <w:rFonts w:hint="default"/>
                              </w:rPr>
                              <w:t>人の監視者が複数台を監視）の体制を構築するためには、安定した通信環境などの設備構築が不可欠である。</w:t>
                            </w:r>
                          </w:p>
                          <w:p>
                            <w:pPr>
                              <w:pStyle w:val="0"/>
                              <w:ind w:left="0" w:leftChars="0" w:firstLine="0" w:firstLineChars="0"/>
                              <w:rPr>
                                <w:rFonts w:hint="default"/>
                              </w:rPr>
                            </w:pPr>
                            <w:r>
                              <w:rPr>
                                <w:rFonts w:hint="eastAsia"/>
                              </w:rPr>
                              <w:t>運用体制の最適化：</w:t>
                            </w:r>
                            <w:r>
                              <w:rPr>
                                <w:rFonts w:hint="default"/>
                              </w:rPr>
                              <w:t xml:space="preserve"> 1</w:t>
                            </w:r>
                            <w:r>
                              <w:rPr>
                                <w:rFonts w:hint="default"/>
                              </w:rPr>
                              <w:t>人あたりの監視上限数には限界があるため、監視者の負担を軽減しつつ、効率性を維持できる支援システムや運用体制の検討が必要である。</w:t>
                            </w:r>
                          </w:p>
                          <w:p>
                            <w:pPr>
                              <w:pStyle w:val="0"/>
                              <w:ind w:left="0" w:leftChars="0" w:firstLine="0" w:firstLineChars="0"/>
                              <w:rPr>
                                <w:rFonts w:hint="default"/>
                              </w:rPr>
                            </w:pPr>
                            <w:r>
                              <w:rPr>
                                <w:rFonts w:hint="eastAsia"/>
                              </w:rPr>
                              <w:t>今回の検証結果をもとに実装時を見据えた運行体制の確立に向けた検討の参考にしていくようにする。</w:t>
                            </w: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6" style="mso-position-vertical-relative:text;z-index:4;mso-wrap-distance-left:9pt;width:502.85pt;height:177.4pt;mso-wrap-mode:square;mso-position-horizontal-relative:text;position:absolute;margin-left:5.e-002pt;margin-top:19.89pt;mso-wrap-distance-bottom:3.6pt;mso-wrap-distance-right:9pt;mso-wrap-distance-top:3.6pt;v-text-anchor:top;" o:spid="_x0000_s1030"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ind w:left="0" w:leftChars="0" w:firstLine="0" w:firstLineChars="0"/>
                        <w:rPr>
                          <w:rFonts w:hint="default"/>
                        </w:rPr>
                      </w:pPr>
                      <w:r>
                        <w:rPr>
                          <w:rFonts w:hint="eastAsia"/>
                        </w:rPr>
                        <w:t>レベル</w:t>
                      </w:r>
                      <w:r>
                        <w:rPr>
                          <w:rFonts w:hint="default"/>
                        </w:rPr>
                        <w:t>4</w:t>
                      </w:r>
                      <w:r>
                        <w:rPr>
                          <w:rFonts w:hint="default"/>
                        </w:rPr>
                        <w:t>無人旅客運送事業の実現に向け、交通事業者である三重交通株式会社の知見を取り入れ、遠隔監視体制のあり方を検証した。</w:t>
                      </w:r>
                      <w:r>
                        <w:rPr>
                          <w:rFonts w:hint="eastAsia"/>
                        </w:rPr>
                        <w:t>社会実装時には、複数拠点を一括監視することで省力化・効率化を図る必要があるという共通認識のもと、今回は同県内である桑名市との同時遠隔監視実証を行い、実運用をより具体的に見据えた検証を実施した。</w:t>
                      </w:r>
                    </w:p>
                    <w:p>
                      <w:pPr>
                        <w:pStyle w:val="0"/>
                        <w:ind w:left="0" w:leftChars="0" w:firstLine="0" w:firstLineChars="0"/>
                        <w:rPr>
                          <w:rFonts w:hint="default"/>
                        </w:rPr>
                      </w:pPr>
                    </w:p>
                    <w:p>
                      <w:pPr>
                        <w:pStyle w:val="0"/>
                        <w:ind w:left="0" w:leftChars="0" w:firstLine="0" w:firstLineChars="0"/>
                        <w:rPr>
                          <w:rFonts w:hint="default"/>
                        </w:rPr>
                      </w:pPr>
                      <w:r>
                        <w:rPr>
                          <w:rFonts w:hint="eastAsia"/>
                        </w:rPr>
                        <w:t>【実証の結果と今後の課題】</w:t>
                      </w:r>
                    </w:p>
                    <w:p>
                      <w:pPr>
                        <w:pStyle w:val="0"/>
                        <w:ind w:left="0" w:leftChars="0" w:firstLine="0" w:firstLineChars="0"/>
                        <w:rPr>
                          <w:rFonts w:hint="default"/>
                        </w:rPr>
                      </w:pPr>
                      <w:r>
                        <w:rPr>
                          <w:rFonts w:hint="eastAsia"/>
                        </w:rPr>
                        <w:t>インフラ整備：</w:t>
                      </w:r>
                      <w:r>
                        <w:rPr>
                          <w:rFonts w:hint="default"/>
                        </w:rPr>
                        <w:t xml:space="preserve"> 1</w:t>
                      </w:r>
                      <w:r>
                        <w:rPr>
                          <w:rFonts w:hint="default"/>
                        </w:rPr>
                        <w:t>：</w:t>
                      </w:r>
                      <w:r>
                        <w:rPr>
                          <w:rFonts w:hint="default"/>
                        </w:rPr>
                        <w:t>N</w:t>
                      </w:r>
                      <w:r>
                        <w:rPr>
                          <w:rFonts w:hint="default"/>
                        </w:rPr>
                        <w:t>（</w:t>
                      </w:r>
                      <w:r>
                        <w:rPr>
                          <w:rFonts w:hint="default"/>
                        </w:rPr>
                        <w:t>1</w:t>
                      </w:r>
                      <w:r>
                        <w:rPr>
                          <w:rFonts w:hint="default"/>
                        </w:rPr>
                        <w:t>人の監視者が複数台を監視）の体制を構築するためには、安定した通信環境などの設備構築が不可欠である。</w:t>
                      </w:r>
                    </w:p>
                    <w:p>
                      <w:pPr>
                        <w:pStyle w:val="0"/>
                        <w:ind w:left="0" w:leftChars="0" w:firstLine="0" w:firstLineChars="0"/>
                        <w:rPr>
                          <w:rFonts w:hint="default"/>
                        </w:rPr>
                      </w:pPr>
                      <w:r>
                        <w:rPr>
                          <w:rFonts w:hint="eastAsia"/>
                        </w:rPr>
                        <w:t>運用体制の最適化：</w:t>
                      </w:r>
                      <w:r>
                        <w:rPr>
                          <w:rFonts w:hint="default"/>
                        </w:rPr>
                        <w:t xml:space="preserve"> 1</w:t>
                      </w:r>
                      <w:r>
                        <w:rPr>
                          <w:rFonts w:hint="default"/>
                        </w:rPr>
                        <w:t>人あたりの監視上限数には限界があるため、監視者の負担を軽減しつつ、効率性を維持できる支援システムや運用体制の検討が必要である。</w:t>
                      </w:r>
                    </w:p>
                    <w:p>
                      <w:pPr>
                        <w:pStyle w:val="0"/>
                        <w:ind w:left="0" w:leftChars="0" w:firstLine="0" w:firstLineChars="0"/>
                        <w:rPr>
                          <w:rFonts w:hint="default"/>
                        </w:rPr>
                      </w:pPr>
                      <w:r>
                        <w:rPr>
                          <w:rFonts w:hint="eastAsia"/>
                        </w:rPr>
                        <w:t>今回の検証結果をもとに実装時を見据えた運行体制の確立に向けた検討の参考にしていくようにする。</w:t>
                      </w:r>
                    </w:p>
                  </w:txbxContent>
                </v:textbox>
                <v:imagedata o:title=""/>
                <w10:wrap type="square" side="both" anchorx="text" anchory="text"/>
              </v:shape>
            </w:pict>
          </mc:Fallback>
        </mc:AlternateContent>
      </w:r>
      <w:r>
        <w:rPr>
          <w:rFonts w:hint="eastAsia"/>
          <w:spacing w:val="-4"/>
        </w:rPr>
        <w:t>■経営面</w:t>
      </w:r>
    </w:p>
    <w:p>
      <w:pPr>
        <w:pStyle w:val="0"/>
        <w:ind w:left="0" w:leftChars="0" w:firstLine="0" w:firstLineChars="0"/>
        <w:rPr>
          <w:rFonts w:hint="default"/>
          <w:spacing w:val="-4"/>
        </w:rPr>
      </w:pPr>
    </w:p>
    <w:p>
      <w:pPr>
        <w:pStyle w:val="0"/>
        <w:ind w:left="0" w:leftChars="0" w:firstLine="0" w:firstLineChars="0"/>
        <w:rPr>
          <w:rFonts w:hint="default"/>
          <w:spacing w:val="-4"/>
        </w:rPr>
      </w:pPr>
      <w:r>
        <w:rPr>
          <w:rFonts w:hint="eastAsia"/>
        </w:rPr>
        <mc:AlternateContent>
          <mc:Choice Requires="wps">
            <w:drawing>
              <wp:anchor distT="45720" distB="45720" distL="114300" distR="114300" simplePos="0" relativeHeight="5" behindDoc="0" locked="0" layoutInCell="1" hidden="0" allowOverlap="1">
                <wp:simplePos x="0" y="0"/>
                <wp:positionH relativeFrom="margin">
                  <wp:align>left</wp:align>
                </wp:positionH>
                <wp:positionV relativeFrom="paragraph">
                  <wp:posOffset>272415</wp:posOffset>
                </wp:positionV>
                <wp:extent cx="6386195" cy="2689860"/>
                <wp:effectExtent l="635" t="635" r="29845" b="10795"/>
                <wp:wrapSquare wrapText="bothSides"/>
                <wp:docPr id="1031" name="テキスト ボックス 8"/>
                <a:graphic xmlns:a="http://schemas.openxmlformats.org/drawingml/2006/main">
                  <a:graphicData uri="http://schemas.microsoft.com/office/word/2010/wordprocessingShape">
                    <wps:wsp>
                      <wps:cNvPr id="1031" name="テキスト ボックス 8"/>
                      <wps:cNvSpPr txBox="1">
                        <a:spLocks noChangeArrowheads="1"/>
                      </wps:cNvSpPr>
                      <wps:spPr>
                        <a:xfrm>
                          <a:off x="0" y="0"/>
                          <a:ext cx="6386195" cy="2689860"/>
                        </a:xfrm>
                        <a:prstGeom prst="rect">
                          <a:avLst/>
                        </a:prstGeom>
                        <a:solidFill>
                          <a:srgbClr val="FFFFFF"/>
                        </a:solidFill>
                        <a:ln w="9525">
                          <a:solidFill>
                            <a:srgbClr val="000000"/>
                          </a:solidFill>
                          <a:miter lim="800000"/>
                          <a:headEnd/>
                          <a:tailEnd/>
                        </a:ln>
                      </wps:spPr>
                      <wps:txbx>
                        <w:txbxContent>
                          <w:p>
                            <w:pPr>
                              <w:pStyle w:val="0"/>
                              <w:ind w:left="0" w:leftChars="0" w:firstLine="0" w:firstLineChars="0"/>
                              <w:rPr>
                                <w:rFonts w:hint="default"/>
                              </w:rPr>
                            </w:pPr>
                            <w:r>
                              <w:rPr>
                                <w:rFonts w:hint="eastAsia"/>
                              </w:rPr>
                              <w:t>レベル</w:t>
                            </w:r>
                            <w:r>
                              <w:rPr>
                                <w:rFonts w:hint="default"/>
                              </w:rPr>
                              <w:t>4</w:t>
                            </w:r>
                            <w:r>
                              <w:rPr>
                                <w:rFonts w:hint="default"/>
                              </w:rPr>
                              <w:t>運行の主要課題である「交差点での右折」と「路上駐車の回避」に重点を置き、検証を行った。</w:t>
                            </w:r>
                          </w:p>
                          <w:p>
                            <w:pPr>
                              <w:pStyle w:val="0"/>
                              <w:ind w:left="0" w:leftChars="0" w:firstLine="0" w:firstLineChars="0"/>
                              <w:rPr>
                                <w:rFonts w:hint="default"/>
                              </w:rPr>
                            </w:pPr>
                          </w:p>
                          <w:p>
                            <w:pPr>
                              <w:pStyle w:val="0"/>
                              <w:ind w:left="0" w:leftChars="0" w:firstLine="0" w:firstLineChars="0"/>
                              <w:rPr>
                                <w:rFonts w:hint="default"/>
                              </w:rPr>
                            </w:pPr>
                            <w:r>
                              <w:rPr>
                                <w:rFonts w:hint="eastAsia"/>
                              </w:rPr>
                              <w:t>【検証結果と技術的課題】</w:t>
                            </w:r>
                          </w:p>
                          <w:p>
                            <w:pPr>
                              <w:pStyle w:val="0"/>
                              <w:ind w:left="0" w:leftChars="0" w:firstLine="0" w:firstLineChars="0"/>
                              <w:rPr>
                                <w:rFonts w:hint="default"/>
                              </w:rPr>
                            </w:pPr>
                            <w:r>
                              <w:rPr>
                                <w:rFonts w:hint="eastAsia"/>
                              </w:rPr>
                              <w:t>交差点での右折成功率　目標：</w:t>
                            </w:r>
                            <w:r>
                              <w:rPr>
                                <w:rFonts w:hint="default"/>
                              </w:rPr>
                              <w:t>90%</w:t>
                            </w:r>
                            <w:r>
                              <w:rPr>
                                <w:rFonts w:hint="default"/>
                              </w:rPr>
                              <w:t>以上</w:t>
                            </w:r>
                            <w:r>
                              <w:rPr>
                                <w:rFonts w:hint="default"/>
                              </w:rPr>
                              <w:t xml:space="preserve"> </w:t>
                            </w:r>
                            <w:r>
                              <w:rPr>
                                <w:rFonts w:hint="default"/>
                              </w:rPr>
                              <w:t>／</w:t>
                            </w:r>
                            <w:r>
                              <w:rPr>
                                <w:rFonts w:hint="default"/>
                              </w:rPr>
                              <w:t xml:space="preserve"> </w:t>
                            </w:r>
                            <w:r>
                              <w:rPr>
                                <w:rFonts w:hint="default"/>
                              </w:rPr>
                              <w:t>結果：</w:t>
                            </w:r>
                            <w:r>
                              <w:rPr>
                                <w:rFonts w:hint="default"/>
                              </w:rPr>
                              <w:t>81.2%</w:t>
                            </w:r>
                          </w:p>
                          <w:p>
                            <w:pPr>
                              <w:pStyle w:val="0"/>
                              <w:ind w:left="0" w:leftChars="0" w:firstLine="0" w:firstLineChars="0"/>
                              <w:rPr>
                                <w:rFonts w:hint="default"/>
                              </w:rPr>
                            </w:pPr>
                            <w:r>
                              <w:rPr>
                                <w:rFonts w:hint="eastAsia"/>
                              </w:rPr>
                              <w:t>路上駐車の回避成功率　目標：</w:t>
                            </w:r>
                            <w:r>
                              <w:rPr>
                                <w:rFonts w:hint="default"/>
                              </w:rPr>
                              <w:t>90%</w:t>
                            </w:r>
                            <w:r>
                              <w:rPr>
                                <w:rFonts w:hint="default"/>
                              </w:rPr>
                              <w:t>以上</w:t>
                            </w:r>
                            <w:r>
                              <w:rPr>
                                <w:rFonts w:hint="default"/>
                              </w:rPr>
                              <w:t xml:space="preserve"> </w:t>
                            </w:r>
                            <w:r>
                              <w:rPr>
                                <w:rFonts w:hint="default"/>
                              </w:rPr>
                              <w:t>／</w:t>
                            </w:r>
                            <w:r>
                              <w:rPr>
                                <w:rFonts w:hint="default"/>
                              </w:rPr>
                              <w:t xml:space="preserve"> </w:t>
                            </w:r>
                            <w:r>
                              <w:rPr>
                                <w:rFonts w:hint="default"/>
                              </w:rPr>
                              <w:t>結果：</w:t>
                            </w:r>
                            <w:r>
                              <w:rPr>
                                <w:rFonts w:hint="default"/>
                              </w:rPr>
                              <w:t>67.24%</w:t>
                            </w:r>
                          </w:p>
                          <w:p>
                            <w:pPr>
                              <w:pStyle w:val="0"/>
                              <w:ind w:left="0" w:leftChars="0" w:firstLine="0" w:firstLineChars="0"/>
                              <w:rPr>
                                <w:rFonts w:hint="default"/>
                              </w:rPr>
                            </w:pPr>
                          </w:p>
                          <w:p>
                            <w:pPr>
                              <w:pStyle w:val="0"/>
                              <w:ind w:left="0" w:leftChars="0" w:firstLine="0" w:firstLineChars="0"/>
                              <w:rPr>
                                <w:rFonts w:hint="default"/>
                              </w:rPr>
                            </w:pPr>
                            <w:r>
                              <w:rPr>
                                <w:rFonts w:hint="eastAsia"/>
                              </w:rPr>
                              <w:t>目標値との乖離については、周囲車両の挙動予測アルゴリズムの強化や、センサーの死角補完による検知精度の向上が不可欠である。今後は走行実績の詳細な解析を通じ、システムベンダーと連携して機能改善を図る。</w:t>
                            </w:r>
                          </w:p>
                          <w:p>
                            <w:pPr>
                              <w:pStyle w:val="0"/>
                              <w:ind w:left="0" w:leftChars="0" w:firstLine="0" w:firstLineChars="0"/>
                              <w:rPr>
                                <w:rFonts w:hint="default"/>
                              </w:rPr>
                            </w:pPr>
                          </w:p>
                          <w:p>
                            <w:pPr>
                              <w:pStyle w:val="0"/>
                              <w:ind w:left="0" w:leftChars="0" w:firstLine="0" w:firstLineChars="0"/>
                              <w:rPr>
                                <w:rFonts w:hint="default"/>
                              </w:rPr>
                            </w:pPr>
                            <w:r>
                              <w:rPr>
                                <w:rFonts w:hint="eastAsia"/>
                              </w:rPr>
                              <w:t>【観光地特有の課題と今後の展望】</w:t>
                            </w:r>
                          </w:p>
                          <w:p>
                            <w:pPr>
                              <w:pStyle w:val="0"/>
                              <w:ind w:left="0" w:leftChars="0" w:firstLine="0" w:firstLineChars="0"/>
                              <w:rPr>
                                <w:rFonts w:hint="default"/>
                              </w:rPr>
                            </w:pPr>
                            <w:r>
                              <w:rPr>
                                <w:rFonts w:hint="eastAsia"/>
                              </w:rPr>
                              <w:t>実証地は国内有数の観光地であり、歩行者の往来に起因する手動介入が一定数発生した。これらはシステム精度の向上のみならず、歩車分離やセンサー等のインフラ整備を含めた、総合的な交通環境の最適化を検討する必要がある。</w:t>
                            </w: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8" style="mso-position-vertical-relative:text;z-index:5;mso-wrap-distance-left:9pt;width:502.85pt;height:211.8pt;mso-wrap-mode:square;mso-position-horizontal-relative:margin;position:absolute;mso-position-horizontal:left;margin-top:21.45pt;mso-wrap-distance-bottom:3.6pt;mso-wrap-distance-right:9pt;mso-wrap-distance-top:3.6pt;v-text-anchor:top;" o:spid="_x0000_s1031"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ind w:left="0" w:leftChars="0" w:firstLine="0" w:firstLineChars="0"/>
                        <w:rPr>
                          <w:rFonts w:hint="default"/>
                        </w:rPr>
                      </w:pPr>
                      <w:r>
                        <w:rPr>
                          <w:rFonts w:hint="eastAsia"/>
                        </w:rPr>
                        <w:t>レベル</w:t>
                      </w:r>
                      <w:r>
                        <w:rPr>
                          <w:rFonts w:hint="default"/>
                        </w:rPr>
                        <w:t>4</w:t>
                      </w:r>
                      <w:r>
                        <w:rPr>
                          <w:rFonts w:hint="default"/>
                        </w:rPr>
                        <w:t>運行の主要課題である「交差点での右折」と「路上駐車の回避」に重点を置き、検証を行った。</w:t>
                      </w:r>
                    </w:p>
                    <w:p>
                      <w:pPr>
                        <w:pStyle w:val="0"/>
                        <w:ind w:left="0" w:leftChars="0" w:firstLine="0" w:firstLineChars="0"/>
                        <w:rPr>
                          <w:rFonts w:hint="default"/>
                        </w:rPr>
                      </w:pPr>
                    </w:p>
                    <w:p>
                      <w:pPr>
                        <w:pStyle w:val="0"/>
                        <w:ind w:left="0" w:leftChars="0" w:firstLine="0" w:firstLineChars="0"/>
                        <w:rPr>
                          <w:rFonts w:hint="default"/>
                        </w:rPr>
                      </w:pPr>
                      <w:r>
                        <w:rPr>
                          <w:rFonts w:hint="eastAsia"/>
                        </w:rPr>
                        <w:t>【検証結果と技術的課題】</w:t>
                      </w:r>
                    </w:p>
                    <w:p>
                      <w:pPr>
                        <w:pStyle w:val="0"/>
                        <w:ind w:left="0" w:leftChars="0" w:firstLine="0" w:firstLineChars="0"/>
                        <w:rPr>
                          <w:rFonts w:hint="default"/>
                        </w:rPr>
                      </w:pPr>
                      <w:r>
                        <w:rPr>
                          <w:rFonts w:hint="eastAsia"/>
                        </w:rPr>
                        <w:t>交差点での右折成功率　目標：</w:t>
                      </w:r>
                      <w:r>
                        <w:rPr>
                          <w:rFonts w:hint="default"/>
                        </w:rPr>
                        <w:t>90%</w:t>
                      </w:r>
                      <w:r>
                        <w:rPr>
                          <w:rFonts w:hint="default"/>
                        </w:rPr>
                        <w:t>以上</w:t>
                      </w:r>
                      <w:r>
                        <w:rPr>
                          <w:rFonts w:hint="default"/>
                        </w:rPr>
                        <w:t xml:space="preserve"> </w:t>
                      </w:r>
                      <w:r>
                        <w:rPr>
                          <w:rFonts w:hint="default"/>
                        </w:rPr>
                        <w:t>／</w:t>
                      </w:r>
                      <w:r>
                        <w:rPr>
                          <w:rFonts w:hint="default"/>
                        </w:rPr>
                        <w:t xml:space="preserve"> </w:t>
                      </w:r>
                      <w:r>
                        <w:rPr>
                          <w:rFonts w:hint="default"/>
                        </w:rPr>
                        <w:t>結果：</w:t>
                      </w:r>
                      <w:r>
                        <w:rPr>
                          <w:rFonts w:hint="default"/>
                        </w:rPr>
                        <w:t>81.2%</w:t>
                      </w:r>
                    </w:p>
                    <w:p>
                      <w:pPr>
                        <w:pStyle w:val="0"/>
                        <w:ind w:left="0" w:leftChars="0" w:firstLine="0" w:firstLineChars="0"/>
                        <w:rPr>
                          <w:rFonts w:hint="default"/>
                        </w:rPr>
                      </w:pPr>
                      <w:r>
                        <w:rPr>
                          <w:rFonts w:hint="eastAsia"/>
                        </w:rPr>
                        <w:t>路上駐車の回避成功率　目標：</w:t>
                      </w:r>
                      <w:r>
                        <w:rPr>
                          <w:rFonts w:hint="default"/>
                        </w:rPr>
                        <w:t>90%</w:t>
                      </w:r>
                      <w:r>
                        <w:rPr>
                          <w:rFonts w:hint="default"/>
                        </w:rPr>
                        <w:t>以上</w:t>
                      </w:r>
                      <w:r>
                        <w:rPr>
                          <w:rFonts w:hint="default"/>
                        </w:rPr>
                        <w:t xml:space="preserve"> </w:t>
                      </w:r>
                      <w:r>
                        <w:rPr>
                          <w:rFonts w:hint="default"/>
                        </w:rPr>
                        <w:t>／</w:t>
                      </w:r>
                      <w:r>
                        <w:rPr>
                          <w:rFonts w:hint="default"/>
                        </w:rPr>
                        <w:t xml:space="preserve"> </w:t>
                      </w:r>
                      <w:r>
                        <w:rPr>
                          <w:rFonts w:hint="default"/>
                        </w:rPr>
                        <w:t>結果：</w:t>
                      </w:r>
                      <w:r>
                        <w:rPr>
                          <w:rFonts w:hint="default"/>
                        </w:rPr>
                        <w:t>67.24%</w:t>
                      </w:r>
                    </w:p>
                    <w:p>
                      <w:pPr>
                        <w:pStyle w:val="0"/>
                        <w:ind w:left="0" w:leftChars="0" w:firstLine="0" w:firstLineChars="0"/>
                        <w:rPr>
                          <w:rFonts w:hint="default"/>
                        </w:rPr>
                      </w:pPr>
                    </w:p>
                    <w:p>
                      <w:pPr>
                        <w:pStyle w:val="0"/>
                        <w:ind w:left="0" w:leftChars="0" w:firstLine="0" w:firstLineChars="0"/>
                        <w:rPr>
                          <w:rFonts w:hint="default"/>
                        </w:rPr>
                      </w:pPr>
                      <w:r>
                        <w:rPr>
                          <w:rFonts w:hint="eastAsia"/>
                        </w:rPr>
                        <w:t>目標値との乖離については、周囲車両の挙動予測アルゴリズムの強化や、センサーの死角補完による検知精度の向上が不可欠である。今後は走行実績の詳細な解析を通じ、システムベンダーと連携して機能改善を図る。</w:t>
                      </w:r>
                    </w:p>
                    <w:p>
                      <w:pPr>
                        <w:pStyle w:val="0"/>
                        <w:ind w:left="0" w:leftChars="0" w:firstLine="0" w:firstLineChars="0"/>
                        <w:rPr>
                          <w:rFonts w:hint="default"/>
                        </w:rPr>
                      </w:pPr>
                    </w:p>
                    <w:p>
                      <w:pPr>
                        <w:pStyle w:val="0"/>
                        <w:ind w:left="0" w:leftChars="0" w:firstLine="0" w:firstLineChars="0"/>
                        <w:rPr>
                          <w:rFonts w:hint="default"/>
                        </w:rPr>
                      </w:pPr>
                      <w:r>
                        <w:rPr>
                          <w:rFonts w:hint="eastAsia"/>
                        </w:rPr>
                        <w:t>【観光地特有の課題と今後の展望】</w:t>
                      </w:r>
                    </w:p>
                    <w:p>
                      <w:pPr>
                        <w:pStyle w:val="0"/>
                        <w:ind w:left="0" w:leftChars="0" w:firstLine="0" w:firstLineChars="0"/>
                        <w:rPr>
                          <w:rFonts w:hint="default"/>
                        </w:rPr>
                      </w:pPr>
                      <w:r>
                        <w:rPr>
                          <w:rFonts w:hint="eastAsia"/>
                        </w:rPr>
                        <w:t>実証地は国内有数の観光地であり、歩行者の往来に起因する手動介入が一定数発生した。これらはシステム精度の向上のみならず、歩車分離やセンサー等のインフラ整備を含めた、総合的な交通環境の最適化を検討する必要がある。</w:t>
                      </w:r>
                    </w:p>
                  </w:txbxContent>
                </v:textbox>
                <v:imagedata o:title=""/>
                <w10:wrap type="square" side="both" anchorx="margin" anchory="text"/>
              </v:shape>
            </w:pict>
          </mc:Fallback>
        </mc:AlternateContent>
      </w:r>
      <w:r>
        <w:rPr>
          <w:rFonts w:hint="eastAsia"/>
          <w:spacing w:val="-4"/>
        </w:rPr>
        <w:t>■技術面</w:t>
      </w:r>
    </w:p>
    <w:p>
      <w:pPr>
        <w:pStyle w:val="0"/>
        <w:ind w:left="0" w:leftChars="0" w:firstLine="0" w:firstLineChars="0"/>
        <w:rPr>
          <w:rFonts w:hint="default"/>
          <w:spacing w:val="-4"/>
        </w:rPr>
      </w:pPr>
    </w:p>
    <w:p>
      <w:pPr>
        <w:pStyle w:val="0"/>
        <w:ind w:left="0" w:leftChars="0" w:firstLine="0" w:firstLineChars="0"/>
        <w:rPr>
          <w:rFonts w:hint="default"/>
          <w:spacing w:val="-4"/>
        </w:rPr>
      </w:pPr>
      <w:r>
        <w:rPr>
          <w:rFonts w:hint="eastAsia"/>
        </w:rPr>
        <mc:AlternateContent>
          <mc:Choice Requires="wps">
            <w:drawing>
              <wp:anchor distT="45720" distB="45720" distL="114300" distR="114300" simplePos="0" relativeHeight="6" behindDoc="0" locked="0" layoutInCell="1" hidden="0" allowOverlap="1">
                <wp:simplePos x="0" y="0"/>
                <wp:positionH relativeFrom="margin">
                  <wp:align>left</wp:align>
                </wp:positionH>
                <wp:positionV relativeFrom="paragraph">
                  <wp:posOffset>286385</wp:posOffset>
                </wp:positionV>
                <wp:extent cx="6386195" cy="2747010"/>
                <wp:effectExtent l="635" t="635" r="29845" b="10795"/>
                <wp:wrapSquare wrapText="bothSides"/>
                <wp:docPr id="1032" name="テキスト ボックス 7"/>
                <a:graphic xmlns:a="http://schemas.openxmlformats.org/drawingml/2006/main">
                  <a:graphicData uri="http://schemas.microsoft.com/office/word/2010/wordprocessingShape">
                    <wps:wsp>
                      <wps:cNvPr id="1032" name="テキスト ボックス 7"/>
                      <wps:cNvSpPr txBox="1">
                        <a:spLocks noChangeArrowheads="1"/>
                      </wps:cNvSpPr>
                      <wps:spPr>
                        <a:xfrm>
                          <a:off x="0" y="0"/>
                          <a:ext cx="6386195" cy="2747010"/>
                        </a:xfrm>
                        <a:prstGeom prst="rect">
                          <a:avLst/>
                        </a:prstGeom>
                        <a:solidFill>
                          <a:srgbClr val="FFFFFF"/>
                        </a:solidFill>
                        <a:ln w="9525">
                          <a:solidFill>
                            <a:srgbClr val="000000"/>
                          </a:solidFill>
                          <a:miter lim="800000"/>
                          <a:headEnd/>
                          <a:tailEnd/>
                        </a:ln>
                      </wps:spPr>
                      <wps:txbx>
                        <w:txbxContent>
                          <w:p>
                            <w:pPr>
                              <w:pStyle w:val="0"/>
                              <w:ind w:left="0" w:leftChars="0" w:firstLine="0" w:firstLineChars="0"/>
                              <w:rPr>
                                <w:rFonts w:hint="default"/>
                              </w:rPr>
                            </w:pPr>
                            <w:r>
                              <w:rPr>
                                <w:rFonts w:hint="eastAsia"/>
                              </w:rPr>
                              <w:t>自動運転車両を組み込んだ新たな交通体系への理解を深めるため、試乗者および地域イベント来場者を対象にアンケートを実施した。</w:t>
                            </w:r>
                          </w:p>
                          <w:p>
                            <w:pPr>
                              <w:pStyle w:val="0"/>
                              <w:ind w:left="0" w:leftChars="0" w:firstLine="0" w:firstLineChars="0"/>
                              <w:rPr>
                                <w:rFonts w:hint="default"/>
                              </w:rPr>
                            </w:pPr>
                          </w:p>
                          <w:p>
                            <w:pPr>
                              <w:pStyle w:val="0"/>
                              <w:ind w:left="0" w:leftChars="0" w:firstLine="0" w:firstLineChars="0"/>
                              <w:rPr>
                                <w:rFonts w:hint="default"/>
                              </w:rPr>
                            </w:pPr>
                            <w:r>
                              <w:rPr>
                                <w:rFonts w:hint="eastAsia"/>
                              </w:rPr>
                              <w:t>【アンケート回収数】</w:t>
                            </w:r>
                          </w:p>
                          <w:p>
                            <w:pPr>
                              <w:pStyle w:val="0"/>
                              <w:ind w:left="0" w:leftChars="0" w:firstLine="0" w:firstLineChars="0"/>
                              <w:rPr>
                                <w:rFonts w:hint="default"/>
                              </w:rPr>
                            </w:pPr>
                            <w:r>
                              <w:rPr>
                                <w:rFonts w:hint="eastAsia"/>
                              </w:rPr>
                              <w:t>試乗者向け：</w:t>
                            </w:r>
                            <w:r>
                              <w:rPr>
                                <w:rFonts w:hint="default"/>
                              </w:rPr>
                              <w:t xml:space="preserve"> 255</w:t>
                            </w:r>
                            <w:r>
                              <w:rPr>
                                <w:rFonts w:hint="default"/>
                              </w:rPr>
                              <w:t>名</w:t>
                            </w:r>
                          </w:p>
                          <w:p>
                            <w:pPr>
                              <w:pStyle w:val="0"/>
                              <w:ind w:left="0" w:leftChars="0" w:firstLine="0" w:firstLineChars="0"/>
                              <w:rPr>
                                <w:rFonts w:hint="default"/>
                              </w:rPr>
                            </w:pPr>
                            <w:r>
                              <w:rPr>
                                <w:rFonts w:hint="eastAsia"/>
                              </w:rPr>
                              <w:t>イベント向け：</w:t>
                            </w:r>
                            <w:r>
                              <w:rPr>
                                <w:rFonts w:hint="default"/>
                              </w:rPr>
                              <w:t xml:space="preserve"> 354</w:t>
                            </w:r>
                            <w:r>
                              <w:rPr>
                                <w:rFonts w:hint="default"/>
                              </w:rPr>
                              <w:t>名</w:t>
                            </w:r>
                          </w:p>
                          <w:p>
                            <w:pPr>
                              <w:pStyle w:val="0"/>
                              <w:ind w:left="0" w:leftChars="0" w:firstLine="0" w:firstLineChars="0"/>
                              <w:rPr>
                                <w:rFonts w:hint="default"/>
                              </w:rPr>
                            </w:pPr>
                          </w:p>
                          <w:p>
                            <w:pPr>
                              <w:pStyle w:val="0"/>
                              <w:ind w:left="0" w:leftChars="0" w:firstLine="0" w:firstLineChars="0"/>
                              <w:rPr>
                                <w:rFonts w:hint="default"/>
                              </w:rPr>
                            </w:pPr>
                            <w:r>
                              <w:rPr>
                                <w:rFonts w:hint="eastAsia"/>
                              </w:rPr>
                              <w:t>【調査結果と今後の展望】</w:t>
                            </w:r>
                          </w:p>
                          <w:p>
                            <w:pPr>
                              <w:pStyle w:val="0"/>
                              <w:ind w:left="0" w:leftChars="0" w:firstLine="0" w:firstLineChars="0"/>
                              <w:rPr>
                                <w:rFonts w:hint="default"/>
                              </w:rPr>
                            </w:pPr>
                            <w:r>
                              <w:rPr>
                                <w:rFonts w:hint="eastAsia"/>
                              </w:rPr>
                              <w:t>調査の結果、自動運転の導入に対しては概ね好意的な評価を得られた。一方で、「ブレーキ制御に対する不安感」を指摘する回答も一定数見られたため、安全・安心な利用環境の提供には車両側のさらなる制御改良が不可欠である。</w:t>
                            </w:r>
                          </w:p>
                          <w:p>
                            <w:pPr>
                              <w:pStyle w:val="0"/>
                              <w:ind w:left="0" w:leftChars="0" w:firstLine="0" w:firstLineChars="0"/>
                              <w:rPr>
                                <w:rFonts w:hint="default"/>
                              </w:rPr>
                            </w:pPr>
                            <w:r>
                              <w:rPr>
                                <w:rFonts w:hint="eastAsia"/>
                              </w:rPr>
                              <w:t>また、本事業では「観光路線」への実装を主眼としているが、アンケートでは「一般路線での運用」を望む声も同水準で寄せられた。まずは観光路線での社会実装を先行させるが、将来的には一般路線を含めた伊勢市全体の交通体系のあり方についても、継続的に検討していく必要がある。</w:t>
                            </w: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7" style="mso-position-vertical-relative:text;z-index:6;mso-wrap-distance-left:9pt;width:502.85pt;height:216.3pt;mso-wrap-mode:square;mso-position-horizontal-relative:margin;position:absolute;mso-position-horizontal:left;margin-top:22.55pt;mso-wrap-distance-bottom:3.6pt;mso-wrap-distance-right:9pt;mso-wrap-distance-top:3.6pt;v-text-anchor:top;" o:spid="_x0000_s1032"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ind w:left="0" w:leftChars="0" w:firstLine="0" w:firstLineChars="0"/>
                        <w:rPr>
                          <w:rFonts w:hint="default"/>
                        </w:rPr>
                      </w:pPr>
                      <w:r>
                        <w:rPr>
                          <w:rFonts w:hint="eastAsia"/>
                        </w:rPr>
                        <w:t>自動運転車両を組み込んだ新たな交通体系への理解を深めるため、試乗者および地域イベント来場者を対象にアンケートを実施した。</w:t>
                      </w:r>
                    </w:p>
                    <w:p>
                      <w:pPr>
                        <w:pStyle w:val="0"/>
                        <w:ind w:left="0" w:leftChars="0" w:firstLine="0" w:firstLineChars="0"/>
                        <w:rPr>
                          <w:rFonts w:hint="default"/>
                        </w:rPr>
                      </w:pPr>
                    </w:p>
                    <w:p>
                      <w:pPr>
                        <w:pStyle w:val="0"/>
                        <w:ind w:left="0" w:leftChars="0" w:firstLine="0" w:firstLineChars="0"/>
                        <w:rPr>
                          <w:rFonts w:hint="default"/>
                        </w:rPr>
                      </w:pPr>
                      <w:r>
                        <w:rPr>
                          <w:rFonts w:hint="eastAsia"/>
                        </w:rPr>
                        <w:t>【アンケート回収数】</w:t>
                      </w:r>
                    </w:p>
                    <w:p>
                      <w:pPr>
                        <w:pStyle w:val="0"/>
                        <w:ind w:left="0" w:leftChars="0" w:firstLine="0" w:firstLineChars="0"/>
                        <w:rPr>
                          <w:rFonts w:hint="default"/>
                        </w:rPr>
                      </w:pPr>
                      <w:r>
                        <w:rPr>
                          <w:rFonts w:hint="eastAsia"/>
                        </w:rPr>
                        <w:t>試乗者向け：</w:t>
                      </w:r>
                      <w:r>
                        <w:rPr>
                          <w:rFonts w:hint="default"/>
                        </w:rPr>
                        <w:t xml:space="preserve"> 255</w:t>
                      </w:r>
                      <w:r>
                        <w:rPr>
                          <w:rFonts w:hint="default"/>
                        </w:rPr>
                        <w:t>名</w:t>
                      </w:r>
                    </w:p>
                    <w:p>
                      <w:pPr>
                        <w:pStyle w:val="0"/>
                        <w:ind w:left="0" w:leftChars="0" w:firstLine="0" w:firstLineChars="0"/>
                        <w:rPr>
                          <w:rFonts w:hint="default"/>
                        </w:rPr>
                      </w:pPr>
                      <w:r>
                        <w:rPr>
                          <w:rFonts w:hint="eastAsia"/>
                        </w:rPr>
                        <w:t>イベント向け：</w:t>
                      </w:r>
                      <w:r>
                        <w:rPr>
                          <w:rFonts w:hint="default"/>
                        </w:rPr>
                        <w:t xml:space="preserve"> 354</w:t>
                      </w:r>
                      <w:r>
                        <w:rPr>
                          <w:rFonts w:hint="default"/>
                        </w:rPr>
                        <w:t>名</w:t>
                      </w:r>
                    </w:p>
                    <w:p>
                      <w:pPr>
                        <w:pStyle w:val="0"/>
                        <w:ind w:left="0" w:leftChars="0" w:firstLine="0" w:firstLineChars="0"/>
                        <w:rPr>
                          <w:rFonts w:hint="default"/>
                        </w:rPr>
                      </w:pPr>
                    </w:p>
                    <w:p>
                      <w:pPr>
                        <w:pStyle w:val="0"/>
                        <w:ind w:left="0" w:leftChars="0" w:firstLine="0" w:firstLineChars="0"/>
                        <w:rPr>
                          <w:rFonts w:hint="default"/>
                        </w:rPr>
                      </w:pPr>
                      <w:r>
                        <w:rPr>
                          <w:rFonts w:hint="eastAsia"/>
                        </w:rPr>
                        <w:t>【調査結果と今後の展望】</w:t>
                      </w:r>
                    </w:p>
                    <w:p>
                      <w:pPr>
                        <w:pStyle w:val="0"/>
                        <w:ind w:left="0" w:leftChars="0" w:firstLine="0" w:firstLineChars="0"/>
                        <w:rPr>
                          <w:rFonts w:hint="default"/>
                        </w:rPr>
                      </w:pPr>
                      <w:r>
                        <w:rPr>
                          <w:rFonts w:hint="eastAsia"/>
                        </w:rPr>
                        <w:t>調査の結果、自動運転の導入に対しては概ね好意的な評価を得られた。一方で、「ブレーキ制御に対する不安感」を指摘する回答も一定数見られたため、安全・安心な利用環境の提供には車両側のさらなる制御改良が不可欠である。</w:t>
                      </w:r>
                    </w:p>
                    <w:p>
                      <w:pPr>
                        <w:pStyle w:val="0"/>
                        <w:ind w:left="0" w:leftChars="0" w:firstLine="0" w:firstLineChars="0"/>
                        <w:rPr>
                          <w:rFonts w:hint="default"/>
                        </w:rPr>
                      </w:pPr>
                      <w:r>
                        <w:rPr>
                          <w:rFonts w:hint="eastAsia"/>
                        </w:rPr>
                        <w:t>また、本事業では「観光路線」への実装を主眼としているが、アンケートでは「一般路線での運用」を望む声も同水準で寄せられた。まずは観光路線での社会実装を先行させるが、将来的には一般路線を含めた伊勢市全体の交通体系のあり方についても、継続的に検討していく必要がある。</w:t>
                      </w:r>
                    </w:p>
                  </w:txbxContent>
                </v:textbox>
                <v:imagedata o:title=""/>
                <w10:wrap type="square" side="both" anchorx="margin" anchory="text"/>
              </v:shape>
            </w:pict>
          </mc:Fallback>
        </mc:AlternateContent>
      </w:r>
      <w:r>
        <w:rPr>
          <w:rFonts w:hint="eastAsia"/>
          <w:spacing w:val="-4"/>
        </w:rPr>
        <w:t>■社会受容性面</w:t>
      </w:r>
    </w:p>
    <w:p>
      <w:pPr>
        <w:pStyle w:val="0"/>
        <w:ind w:left="0" w:leftChars="0" w:firstLine="0" w:firstLineChars="0"/>
        <w:rPr>
          <w:rFonts w:hint="default"/>
          <w:spacing w:val="-4"/>
        </w:rPr>
      </w:pPr>
      <w:bookmarkStart w:id="1" w:name="_GoBack"/>
      <w:bookmarkEnd w:id="1"/>
    </w:p>
    <w:sectPr>
      <w:footerReference r:id="rId7" w:type="default"/>
      <w:pgSz w:w="11910" w:h="16840"/>
      <w:pgMar w:top="851" w:right="851" w:bottom="567" w:left="851" w:header="0" w:footer="454" w:gutter="0"/>
      <w:cols w:space="720"/>
      <w:textDirection w:val="lrTb"/>
      <w:docGrid w:linePitch="29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Ｐ明朝">
    <w:panose1 w:val="00000000000000000000"/>
    <w:charset w:val="80"/>
    <w:family w:val="roma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alibri">
    <w:panose1 w:val="00000000000000000000"/>
    <w:charset w:val="00"/>
    <w:family w:val="swiss"/>
    <w:notTrueType/>
    <w:pitch w:val="variable"/>
    <w:sig w:usb0="00000000" w:usb1="00000000" w:usb2="00000000" w:usb3="00000000" w:csb0="FF000000" w:csb1="00000000"/>
  </w:font>
  <w:font w:name="Cambria">
    <w:panose1 w:val="00000000000000000000"/>
    <w:charset w:val="00"/>
    <w:family w:val="roman"/>
    <w:notTrueType/>
    <w:pitch w:val="variable"/>
    <w:sig w:usb0="00000000" w:usb1="00000000" w:usb2="00000000" w:usb3="00000000" w:csb0="FF000000" w:csb1="00000000"/>
  </w:font>
  <w:font w:name="游明朝">
    <w:panose1 w:val="00000000000000000000"/>
    <w:charset w:val="80"/>
    <w:family w:val="roman"/>
    <w:notTrueType/>
    <w:pitch w:val="variable"/>
    <w:sig w:usb0="00000000" w:usb1="00000000" w:usb2="00000000" w:usb3="00000000" w:csb0="01008200" w:csb1="00000000"/>
  </w:font>
  <w:font w:name="Meiryo UI">
    <w:panose1 w:val="00000000000000000000"/>
    <w:charset w:val="80"/>
    <w:family w:val="moder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Ｐ明朝">
    <w:panose1 w:val="000008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7"/>
      <w:rPr>
        <w:rFonts w:hint="default"/>
      </w:rPr>
    </w:pPr>
    <w:r>
      <w:rPr>
        <w:rFonts w:hint="eastAsia"/>
      </w:rPr>
      <w:t>1</w:t>
    </w: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default"/>
      </w:rPr>
    </w:pPr>
    <w:sdt>
      <w:sdtPr>
        <w:rPr>
          <w:rFonts w:hint="default"/>
        </w:rPr>
        <w:id w:val="1630123042"/>
        <w:docPartObj>
          <w:docPartGallery w:val="Page Numbers (Bottom of Page)"/>
          <w:docPartUnique/>
        </w:docPartObj>
      </w:sdtPr>
      <w:sdtEndPr>
        <w:rPr>
          <w:rFonts w:hint="default"/>
        </w:rPr>
      </w:sdtEndPr>
      <w:sdtContent>
        <w:sdt>
          <w:sdtPr>
            <w:rPr>
              <w:rFonts w:hint="default"/>
            </w:rPr>
            <w:id w:val="-737245255"/>
            <w:docPartObj>
              <w:docPartGallery w:val="Page Numbers (Top of Page)"/>
              <w:docPartUnique/>
            </w:docPartObj>
          </w:sdtPr>
          <w:sdtEndPr>
            <w:rPr>
              <w:rFonts w:hint="default"/>
            </w:rPr>
          </w:sdtEndPr>
          <w:sdtContent>
            <w:r>
              <w:rPr>
                <w:rFonts w:hint="default"/>
              </w:rPr>
              <w:t xml:space="preserve"> </w:t>
            </w:r>
            <w:r>
              <w:rPr>
                <w:rFonts w:hint="eastAsia"/>
              </w:rPr>
              <w:fldChar w:fldCharType="begin"/>
            </w:r>
            <w:r>
              <w:rPr>
                <w:rFonts w:hint="eastAsia"/>
              </w:rPr>
              <w:instrText xml:space="preserve">PAGE  \* MERGEFORMAT </w:instrText>
            </w:r>
            <w:r>
              <w:rPr>
                <w:rFonts w:hint="eastAsia"/>
              </w:rPr>
              <w:fldChar w:fldCharType="separate"/>
            </w:r>
            <w:r>
              <w:rPr>
                <w:rFonts w:hint="default"/>
              </w:rPr>
              <w:t>2</w:t>
            </w:r>
            <w:r>
              <w:rPr>
                <w:rFonts w:hint="eastAsia"/>
              </w:rPr>
              <w:fldChar w:fldCharType="end"/>
            </w:r>
          </w:sdtContent>
        </w:sdt>
      </w:sdtContent>
    </w:sdt>
  </w:p>
</w:ft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0324E818"/>
    <w:lvl w:ilvl="0" w:tplc="87A0ACE0">
      <w:start w:val="1"/>
      <w:numFmt w:val="upperRoman"/>
      <w:pStyle w:val="1"/>
      <w:lvlText w:val="%1."/>
      <w:lvlJc w:val="left"/>
      <w:pPr>
        <w:ind w:left="420" w:hanging="420"/>
      </w:pPr>
      <w:rPr>
        <w:b w:val="1"/>
        <w:i w:val="0"/>
        <w:caps w:val="0"/>
        <w:smallCaps w:val="0"/>
        <w:strike w:val="0"/>
        <w:dstrike w:val="0"/>
        <w:outline w:val="0"/>
        <w:shadow w:val="0"/>
        <w:emboss w:val="0"/>
        <w:imprint w:val="0"/>
        <w:vanish w:val="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tplc="93E89134">
      <w:start w:val="1"/>
      <w:numFmt w:val="decimal"/>
      <w:suff w:val="space"/>
      <w:lvlText w:val="%2."/>
      <w:lvlJc w:val="left"/>
      <w:pPr>
        <w:ind w:left="420" w:hanging="420"/>
      </w:pPr>
      <w:rPr>
        <w:rFonts w:hint="default" w:ascii="ＭＳ Ｐ明朝" w:hAnsi="ＭＳ Ｐ明朝" w:eastAsia="ＭＳ Ｐ明朝"/>
        <w:w w:val="100"/>
        <w:sz w:val="22"/>
      </w:rPr>
    </w:lvl>
    <w:lvl w:ilvl="2" w:tplc="F34AE67A">
      <w:numFmt w:val="bullet"/>
      <w:lvlText w:val=""/>
      <w:lvlJc w:val="left"/>
      <w:pPr>
        <w:ind w:left="954" w:hanging="420"/>
      </w:pPr>
      <w:rPr>
        <w:rFonts w:hint="default" w:ascii="Wingdings" w:hAnsi="Wingdings"/>
        <w:w w:val="163"/>
        <w:sz w:val="22"/>
      </w:rPr>
    </w:lvl>
    <w:lvl w:ilvl="3" w:tplc="B8D089A8">
      <w:numFmt w:val="bullet"/>
      <w:lvlText w:val="•"/>
      <w:lvlJc w:val="left"/>
      <w:pPr>
        <w:ind w:left="1978" w:hanging="420"/>
      </w:pPr>
      <w:rPr>
        <w:rFonts w:hint="default"/>
      </w:rPr>
    </w:lvl>
    <w:lvl w:ilvl="4" w:tplc="6C9C3AD4">
      <w:numFmt w:val="bullet"/>
      <w:lvlText w:val="•"/>
      <w:lvlJc w:val="left"/>
      <w:pPr>
        <w:ind w:left="2996" w:hanging="420"/>
      </w:pPr>
      <w:rPr>
        <w:rFonts w:hint="default"/>
      </w:rPr>
    </w:lvl>
    <w:lvl w:ilvl="5" w:tplc="23FC027C">
      <w:numFmt w:val="bullet"/>
      <w:lvlText w:val="•"/>
      <w:lvlJc w:val="left"/>
      <w:pPr>
        <w:ind w:left="4014" w:hanging="420"/>
      </w:pPr>
      <w:rPr>
        <w:rFonts w:hint="default"/>
      </w:rPr>
    </w:lvl>
    <w:lvl w:ilvl="6" w:tplc="CAD8692E">
      <w:numFmt w:val="bullet"/>
      <w:lvlText w:val="•"/>
      <w:lvlJc w:val="left"/>
      <w:pPr>
        <w:ind w:left="5033" w:hanging="420"/>
      </w:pPr>
      <w:rPr>
        <w:rFonts w:hint="default"/>
      </w:rPr>
    </w:lvl>
    <w:lvl w:ilvl="7" w:tplc="A3F44E92">
      <w:numFmt w:val="bullet"/>
      <w:lvlText w:val="•"/>
      <w:lvlJc w:val="left"/>
      <w:pPr>
        <w:ind w:left="6051" w:hanging="420"/>
      </w:pPr>
      <w:rPr>
        <w:rFonts w:hint="default"/>
      </w:rPr>
    </w:lvl>
    <w:lvl w:ilvl="8" w:tplc="92787546">
      <w:numFmt w:val="bullet"/>
      <w:lvlText w:val="•"/>
      <w:lvlJc w:val="left"/>
      <w:pPr>
        <w:ind w:left="7069" w:hanging="420"/>
      </w:pPr>
      <w:rPr>
        <w:rFonts w:hint="default"/>
      </w:rPr>
    </w:lvl>
  </w:abstractNum>
  <w:abstractNum w:abstractNumId="1">
    <w:nsid w:val="00000002"/>
    <w:multiLevelType w:val="hybridMultilevel"/>
    <w:tmpl w:val="FEAE0540"/>
    <w:lvl w:ilvl="0" w:tplc="C1C66D92">
      <w:start w:val="1"/>
      <w:numFmt w:val="decimal"/>
      <w:pStyle w:val="2"/>
      <w:lvlText w:val="%1."/>
      <w:lvlJc w:val="left"/>
      <w:pPr>
        <w:ind w:left="704" w:hanging="420"/>
      </w:pPr>
      <w:rPr>
        <w:b w:val="1"/>
        <w:i w:val="0"/>
        <w:caps w:val="0"/>
        <w:smallCaps w:val="0"/>
        <w:strike w:val="0"/>
        <w:dstrike w:val="0"/>
        <w:outline w:val="0"/>
        <w:shadow w:val="0"/>
        <w:emboss w:val="0"/>
        <w:imprint w:val="0"/>
        <w:vanish w:val="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tplc="93E89134">
      <w:start w:val="1"/>
      <w:numFmt w:val="decimal"/>
      <w:suff w:val="space"/>
      <w:lvlText w:val="%2."/>
      <w:lvlJc w:val="left"/>
      <w:pPr>
        <w:ind w:left="603" w:hanging="420"/>
      </w:pPr>
      <w:rPr>
        <w:rFonts w:hint="default" w:ascii="ＭＳ Ｐ明朝" w:hAnsi="ＭＳ Ｐ明朝" w:eastAsia="ＭＳ Ｐ明朝"/>
        <w:w w:val="100"/>
        <w:sz w:val="22"/>
      </w:rPr>
    </w:lvl>
    <w:lvl w:ilvl="2" w:tplc="F34AE67A">
      <w:numFmt w:val="bullet"/>
      <w:lvlText w:val=""/>
      <w:lvlJc w:val="left"/>
      <w:pPr>
        <w:ind w:left="1137" w:hanging="420"/>
      </w:pPr>
      <w:rPr>
        <w:rFonts w:hint="default" w:ascii="Wingdings" w:hAnsi="Wingdings"/>
        <w:w w:val="163"/>
        <w:sz w:val="22"/>
      </w:rPr>
    </w:lvl>
    <w:lvl w:ilvl="3" w:tplc="B8D089A8">
      <w:numFmt w:val="bullet"/>
      <w:lvlText w:val="•"/>
      <w:lvlJc w:val="left"/>
      <w:pPr>
        <w:ind w:left="2161" w:hanging="420"/>
      </w:pPr>
      <w:rPr>
        <w:rFonts w:hint="default"/>
      </w:rPr>
    </w:lvl>
    <w:lvl w:ilvl="4" w:tplc="6C9C3AD4">
      <w:numFmt w:val="bullet"/>
      <w:lvlText w:val="•"/>
      <w:lvlJc w:val="left"/>
      <w:pPr>
        <w:ind w:left="3179" w:hanging="420"/>
      </w:pPr>
      <w:rPr>
        <w:rFonts w:hint="default"/>
      </w:rPr>
    </w:lvl>
    <w:lvl w:ilvl="5" w:tplc="23FC027C">
      <w:numFmt w:val="bullet"/>
      <w:lvlText w:val="•"/>
      <w:lvlJc w:val="left"/>
      <w:pPr>
        <w:ind w:left="4197" w:hanging="420"/>
      </w:pPr>
      <w:rPr>
        <w:rFonts w:hint="default"/>
      </w:rPr>
    </w:lvl>
    <w:lvl w:ilvl="6" w:tplc="CAD8692E">
      <w:numFmt w:val="bullet"/>
      <w:lvlText w:val="•"/>
      <w:lvlJc w:val="left"/>
      <w:pPr>
        <w:ind w:left="5216" w:hanging="420"/>
      </w:pPr>
      <w:rPr>
        <w:rFonts w:hint="default"/>
      </w:rPr>
    </w:lvl>
    <w:lvl w:ilvl="7" w:tplc="A3F44E92">
      <w:numFmt w:val="bullet"/>
      <w:lvlText w:val="•"/>
      <w:lvlJc w:val="left"/>
      <w:pPr>
        <w:ind w:left="6234" w:hanging="420"/>
      </w:pPr>
      <w:rPr>
        <w:rFonts w:hint="default"/>
      </w:rPr>
    </w:lvl>
    <w:lvl w:ilvl="8" w:tplc="92787546">
      <w:numFmt w:val="bullet"/>
      <w:lvlText w:val="•"/>
      <w:lvlJc w:val="left"/>
      <w:pPr>
        <w:ind w:left="7252" w:hanging="420"/>
      </w:pPr>
      <w:rPr>
        <w:rFonts w:hint="default"/>
      </w:rPr>
    </w:lvl>
  </w:abstractNum>
  <w:abstractNum w:abstractNumId="2">
    <w:nsid w:val="00000003"/>
    <w:multiLevelType w:val="hybridMultilevel"/>
    <w:tmpl w:val="E75E81F2"/>
    <w:lvl w:ilvl="0" w:tplc="A268E6EE">
      <w:start w:val="1"/>
      <w:numFmt w:val="decimalFullWidth"/>
      <w:pStyle w:val="3"/>
      <w:lvlText w:val="（%1）"/>
      <w:lvlJc w:val="left"/>
      <w:pPr>
        <w:ind w:left="640" w:hanging="420"/>
      </w:pPr>
      <w:rPr>
        <w:rFonts w:hint="default"/>
        <w:b w:val="1"/>
      </w:rPr>
    </w:lvl>
    <w:lvl w:ilvl="1" w:tplc="04090017">
      <w:start w:val="1"/>
      <w:numFmt w:val="aiueoFullWidth"/>
      <w:lvlText w:val="(%2)"/>
      <w:lvlJc w:val="left"/>
      <w:pPr>
        <w:ind w:left="1060" w:hanging="420"/>
      </w:pPr>
    </w:lvl>
    <w:lvl w:ilvl="2" w:tplc="04090011">
      <w:start w:val="1"/>
      <w:numFmt w:val="decimalEnclosedCircle"/>
      <w:lvlText w:val="%3"/>
      <w:lvlJc w:val="left"/>
      <w:pPr>
        <w:ind w:left="1480" w:hanging="420"/>
      </w:pPr>
    </w:lvl>
    <w:lvl w:ilvl="3" w:tplc="0409000F">
      <w:start w:val="1"/>
      <w:numFmt w:val="decimal"/>
      <w:lvlText w:val="%4."/>
      <w:lvlJc w:val="left"/>
      <w:pPr>
        <w:ind w:left="1900" w:hanging="420"/>
      </w:pPr>
    </w:lvl>
    <w:lvl w:ilvl="4" w:tplc="04090017">
      <w:start w:val="1"/>
      <w:numFmt w:val="aiueoFullWidth"/>
      <w:lvlText w:val="(%5)"/>
      <w:lvlJc w:val="left"/>
      <w:pPr>
        <w:ind w:left="2320" w:hanging="420"/>
      </w:pPr>
    </w:lvl>
    <w:lvl w:ilvl="5" w:tplc="04090011">
      <w:start w:val="1"/>
      <w:numFmt w:val="decimalEnclosedCircle"/>
      <w:lvlText w:val="%6"/>
      <w:lvlJc w:val="left"/>
      <w:pPr>
        <w:ind w:left="2740" w:hanging="420"/>
      </w:pPr>
    </w:lvl>
    <w:lvl w:ilvl="6" w:tplc="0409000F">
      <w:start w:val="1"/>
      <w:numFmt w:val="decimal"/>
      <w:lvlText w:val="%7."/>
      <w:lvlJc w:val="left"/>
      <w:pPr>
        <w:ind w:left="3160" w:hanging="420"/>
      </w:pPr>
    </w:lvl>
    <w:lvl w:ilvl="7" w:tplc="04090017">
      <w:start w:val="1"/>
      <w:numFmt w:val="aiueoFullWidth"/>
      <w:lvlText w:val="(%8)"/>
      <w:lvlJc w:val="left"/>
      <w:pPr>
        <w:ind w:left="3580" w:hanging="420"/>
      </w:pPr>
    </w:lvl>
    <w:lvl w:ilvl="8" w:tplc="04090011">
      <w:start w:val="1"/>
      <w:numFmt w:val="decimalEnclosedCircle"/>
      <w:lvlText w:val="%9"/>
      <w:lvlJc w:val="left"/>
      <w:pPr>
        <w:ind w:left="4000" w:hanging="420"/>
      </w:pPr>
    </w:lvl>
  </w:abstractNum>
  <w:abstractNum w:abstractNumId="3">
    <w:nsid w:val="00000004"/>
    <w:multiLevelType w:val="hybridMultilevel"/>
    <w:tmpl w:val="3F30A27A"/>
    <w:lvl w:ilvl="0" w:tplc="8A7AD4DA">
      <w:numFmt w:val="bullet"/>
      <w:pStyle w:val="53"/>
      <w:lvlText w:val="•"/>
      <w:lvlJc w:val="left"/>
      <w:pPr>
        <w:ind w:left="640" w:hanging="420"/>
      </w:pPr>
      <w:rPr>
        <w:rFonts w:hint="default" w:ascii="Arial" w:hAnsi="Arial"/>
        <w:spacing w:val="-55"/>
        <w:w w:val="100"/>
        <w:sz w:val="20"/>
      </w:rPr>
    </w:lvl>
    <w:lvl w:ilvl="1" w:tplc="0409000B">
      <w:numFmt w:val="bullet"/>
      <w:lvlText w:val=""/>
      <w:lvlJc w:val="left"/>
      <w:pPr>
        <w:ind w:left="1060" w:hanging="420"/>
      </w:pPr>
      <w:rPr>
        <w:rFonts w:hint="default" w:ascii="Wingdings" w:hAnsi="Wingdings"/>
      </w:rPr>
    </w:lvl>
    <w:lvl w:ilvl="2" w:tplc="0409000D">
      <w:numFmt w:val="bullet"/>
      <w:lvlText w:val=""/>
      <w:lvlJc w:val="left"/>
      <w:pPr>
        <w:ind w:left="1480" w:hanging="420"/>
      </w:pPr>
      <w:rPr>
        <w:rFonts w:hint="default" w:ascii="Wingdings" w:hAnsi="Wingdings"/>
      </w:rPr>
    </w:lvl>
    <w:lvl w:ilvl="3" w:tplc="04090001">
      <w:numFmt w:val="bullet"/>
      <w:lvlText w:val=""/>
      <w:lvlJc w:val="left"/>
      <w:pPr>
        <w:ind w:left="1900" w:hanging="420"/>
      </w:pPr>
      <w:rPr>
        <w:rFonts w:hint="default" w:ascii="Wingdings" w:hAnsi="Wingdings"/>
      </w:rPr>
    </w:lvl>
    <w:lvl w:ilvl="4" w:tplc="0409000B">
      <w:numFmt w:val="bullet"/>
      <w:lvlText w:val=""/>
      <w:lvlJc w:val="left"/>
      <w:pPr>
        <w:ind w:left="2320" w:hanging="420"/>
      </w:pPr>
      <w:rPr>
        <w:rFonts w:hint="default" w:ascii="Wingdings" w:hAnsi="Wingdings"/>
      </w:rPr>
    </w:lvl>
    <w:lvl w:ilvl="5" w:tplc="0409000D">
      <w:numFmt w:val="bullet"/>
      <w:lvlText w:val=""/>
      <w:lvlJc w:val="left"/>
      <w:pPr>
        <w:ind w:left="2740" w:hanging="420"/>
      </w:pPr>
      <w:rPr>
        <w:rFonts w:hint="default" w:ascii="Wingdings" w:hAnsi="Wingdings"/>
      </w:rPr>
    </w:lvl>
    <w:lvl w:ilvl="6" w:tplc="04090001">
      <w:numFmt w:val="bullet"/>
      <w:lvlText w:val=""/>
      <w:lvlJc w:val="left"/>
      <w:pPr>
        <w:ind w:left="3160" w:hanging="420"/>
      </w:pPr>
      <w:rPr>
        <w:rFonts w:hint="default" w:ascii="Wingdings" w:hAnsi="Wingdings"/>
      </w:rPr>
    </w:lvl>
    <w:lvl w:ilvl="7" w:tplc="0409000B">
      <w:numFmt w:val="bullet"/>
      <w:lvlText w:val=""/>
      <w:lvlJc w:val="left"/>
      <w:pPr>
        <w:ind w:left="3580" w:hanging="420"/>
      </w:pPr>
      <w:rPr>
        <w:rFonts w:hint="default" w:ascii="Wingdings" w:hAnsi="Wingdings"/>
      </w:rPr>
    </w:lvl>
    <w:lvl w:ilvl="8" w:tplc="0409000D">
      <w:numFmt w:val="bullet"/>
      <w:lvlText w:val=""/>
      <w:lvlJc w:val="left"/>
      <w:pPr>
        <w:ind w:left="4000" w:hanging="420"/>
      </w:pPr>
      <w:rPr>
        <w:rFonts w:hint="default"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19"/>
  <w:drawingGridHorizontalSpacing w:val="110"/>
  <w:displayHorizontalDrawingGridEvery w:val="2"/>
  <w:hdrShapeDefaults>
    <o:shapelayout v:ext="edit"/>
  </w:hdrShapeDefaults>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sz w:val="22"/>
      </w:rPr>
    </w:rPrDefault>
    <w:pPrDefault/>
  </w:docDefaults>
  <w:style w:type="paragraph" w:styleId="0" w:default="1">
    <w:name w:val="Normal"/>
    <w:next w:val="0"/>
    <w:link w:val="0"/>
    <w:uiPriority w:val="0"/>
    <w:qFormat/>
    <w:pPr>
      <w:ind w:left="284" w:leftChars="129" w:firstLine="220" w:firstLineChars="100"/>
    </w:pPr>
    <w:rPr>
      <w:rFonts w:ascii="ＭＳ Ｐ明朝" w:hAnsi="ＭＳ Ｐ明朝" w:eastAsia="ＭＳ Ｐ明朝"/>
    </w:rPr>
  </w:style>
  <w:style w:type="paragraph" w:styleId="1">
    <w:name w:val="heading 1"/>
    <w:basedOn w:val="0"/>
    <w:next w:val="1"/>
    <w:link w:val="0"/>
    <w:uiPriority w:val="0"/>
    <w:qFormat/>
    <w:pPr>
      <w:numPr>
        <w:ilvl w:val="0"/>
        <w:numId w:val="1"/>
      </w:numPr>
      <w:spacing w:after="299" w:afterLines="100" w:afterAutospacing="0"/>
      <w:ind w:left="0" w:leftChars="0" w:firstLine="261"/>
      <w:outlineLvl w:val="0"/>
    </w:pPr>
    <w:rPr>
      <w:b w:val="1"/>
      <w:sz w:val="26"/>
    </w:rPr>
  </w:style>
  <w:style w:type="paragraph" w:styleId="2">
    <w:name w:val="heading 2"/>
    <w:basedOn w:val="0"/>
    <w:next w:val="0"/>
    <w:link w:val="36"/>
    <w:uiPriority w:val="0"/>
    <w:qFormat/>
    <w:pPr>
      <w:keepNext w:val="1"/>
      <w:numPr>
        <w:ilvl w:val="0"/>
        <w:numId w:val="2"/>
      </w:numPr>
      <w:spacing w:after="149" w:afterLines="50" w:afterAutospacing="0"/>
      <w:ind w:left="0" w:leftChars="0" w:firstLine="260"/>
      <w:outlineLvl w:val="1"/>
    </w:pPr>
    <w:rPr>
      <w:sz w:val="26"/>
    </w:rPr>
  </w:style>
  <w:style w:type="paragraph" w:styleId="3">
    <w:name w:val="heading 3"/>
    <w:basedOn w:val="0"/>
    <w:next w:val="0"/>
    <w:link w:val="30"/>
    <w:uiPriority w:val="0"/>
    <w:qFormat/>
    <w:pPr>
      <w:keepNext w:val="1"/>
      <w:numPr>
        <w:ilvl w:val="0"/>
        <w:numId w:val="3"/>
      </w:numPr>
      <w:spacing w:after="149" w:afterLines="50" w:afterAutospacing="0"/>
      <w:outlineLvl w:val="2"/>
    </w:pPr>
    <w:rPr>
      <w:rFonts w:asciiTheme="majorHAnsi" w:hAnsiTheme="majorHAnsi" w:eastAsiaTheme="majorEastAsia"/>
      <w:sz w:val="24"/>
    </w:rPr>
  </w:style>
  <w:style w:type="paragraph" w:styleId="4">
    <w:name w:val="heading 4"/>
    <w:basedOn w:val="0"/>
    <w:next w:val="0"/>
    <w:link w:val="31"/>
    <w:uiPriority w:val="0"/>
    <w:qFormat/>
    <w:pPr>
      <w:keepNext w:val="1"/>
      <w:ind w:left="400" w:leftChars="400"/>
      <w:outlineLvl w:val="3"/>
    </w:pPr>
    <w:rPr>
      <w:b w:val="1"/>
    </w:rPr>
  </w:style>
  <w:style w:type="paragraph" w:styleId="5">
    <w:name w:val="heading 5"/>
    <w:basedOn w:val="0"/>
    <w:next w:val="0"/>
    <w:link w:val="29"/>
    <w:uiPriority w:val="0"/>
    <w:qFormat/>
    <w:pPr>
      <w:keepNext w:val="1"/>
      <w:ind w:left="800" w:leftChars="800"/>
      <w:outlineLvl w:val="4"/>
    </w:pPr>
    <w:rPr>
      <w:rFonts w:asciiTheme="majorHAnsi" w:hAnsiTheme="majorHAnsi" w:eastAsiaTheme="majorEastAsia"/>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w:basedOn w:val="0"/>
    <w:next w:val="15"/>
    <w:link w:val="18"/>
    <w:uiPriority w:val="0"/>
    <w:qFormat/>
    <w:pPr>
      <w:snapToGrid w:val="0"/>
      <w:spacing w:after="59" w:afterLines="20" w:afterAutospacing="0"/>
      <w:ind w:left="220" w:leftChars="100"/>
      <w:jc w:val="both"/>
    </w:pPr>
    <w:rPr>
      <w:rFonts w:ascii="游明朝" w:hAnsi="游明朝" w:eastAsia="游明朝"/>
      <w:spacing w:val="-4"/>
    </w:rPr>
  </w:style>
  <w:style w:type="paragraph" w:styleId="16">
    <w:name w:val="List Paragraph"/>
    <w:basedOn w:val="0"/>
    <w:next w:val="16"/>
    <w:link w:val="54"/>
    <w:uiPriority w:val="0"/>
    <w:qFormat/>
    <w:pPr>
      <w:ind w:left="522" w:hanging="420"/>
    </w:pPr>
  </w:style>
  <w:style w:type="paragraph" w:styleId="17" w:customStyle="1">
    <w:name w:val="Table Paragraph"/>
    <w:basedOn w:val="0"/>
    <w:next w:val="17"/>
    <w:link w:val="0"/>
    <w:uiPriority w:val="0"/>
    <w:qFormat/>
    <w:pPr>
      <w:spacing w:before="39" w:beforeLines="0" w:beforeAutospacing="0"/>
      <w:ind w:left="98"/>
    </w:pPr>
  </w:style>
  <w:style w:type="character" w:styleId="18" w:customStyle="1">
    <w:name w:val="本文 (文字)"/>
    <w:basedOn w:val="10"/>
    <w:next w:val="18"/>
    <w:link w:val="15"/>
    <w:uiPriority w:val="0"/>
    <w:rPr>
      <w:rFonts w:ascii="游明朝" w:hAnsi="游明朝" w:eastAsia="游明朝"/>
      <w:spacing w:val="-4"/>
    </w:rPr>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paragraph" w:styleId="21">
    <w:name w:val="Closing"/>
    <w:basedOn w:val="0"/>
    <w:next w:val="21"/>
    <w:link w:val="22"/>
    <w:uiPriority w:val="0"/>
    <w:pPr>
      <w:widowControl w:val="1"/>
      <w:autoSpaceDE w:val="1"/>
      <w:autoSpaceDN w:val="1"/>
      <w:spacing w:after="160" w:afterLines="0" w:afterAutospacing="0" w:line="259" w:lineRule="auto"/>
      <w:jc w:val="right"/>
    </w:pPr>
    <w:rPr>
      <w:rFonts w:ascii="Meiryo UI" w:hAnsi="Meiryo UI" w:eastAsia="Meiryo UI"/>
    </w:rPr>
  </w:style>
  <w:style w:type="character" w:styleId="22" w:customStyle="1">
    <w:name w:val="結語 (文字)"/>
    <w:basedOn w:val="10"/>
    <w:next w:val="22"/>
    <w:link w:val="21"/>
    <w:uiPriority w:val="0"/>
    <w:rPr>
      <w:rFonts w:ascii="Meiryo UI" w:hAnsi="Meiryo UI" w:eastAsia="Meiryo UI"/>
    </w:rPr>
  </w:style>
  <w:style w:type="character" w:styleId="23">
    <w:name w:val="Hyperlink"/>
    <w:basedOn w:val="10"/>
    <w:next w:val="23"/>
    <w:link w:val="0"/>
    <w:uiPriority w:val="0"/>
    <w:rPr>
      <w:color w:val="0000FF" w:themeColor="hyperlink"/>
      <w:u w:val="single" w:color="auto"/>
    </w:rPr>
  </w:style>
  <w:style w:type="character" w:styleId="24" w:customStyle="1">
    <w:name w:val="未解決のメンション1"/>
    <w:basedOn w:val="10"/>
    <w:next w:val="24"/>
    <w:link w:val="0"/>
    <w:uiPriority w:val="0"/>
    <w:rPr>
      <w:color w:val="605E5C"/>
      <w:shd w:val="clear" w:color="auto" w:fill="E1DFDD"/>
    </w:rPr>
  </w:style>
  <w:style w:type="paragraph" w:styleId="25">
    <w:name w:val="header"/>
    <w:basedOn w:val="0"/>
    <w:next w:val="25"/>
    <w:link w:val="26"/>
    <w:uiPriority w:val="0"/>
    <w:pPr>
      <w:tabs>
        <w:tab w:val="center" w:leader="none" w:pos="4252"/>
        <w:tab w:val="right" w:leader="none" w:pos="8504"/>
      </w:tabs>
      <w:snapToGrid w:val="0"/>
    </w:pPr>
  </w:style>
  <w:style w:type="character" w:styleId="26" w:customStyle="1">
    <w:name w:val="ヘッダー (文字)"/>
    <w:basedOn w:val="10"/>
    <w:next w:val="26"/>
    <w:link w:val="25"/>
    <w:uiPriority w:val="0"/>
    <w:rPr>
      <w:rFonts w:ascii="ＭＳ Ｐ明朝" w:hAnsi="ＭＳ Ｐ明朝" w:eastAsia="ＭＳ Ｐ明朝"/>
    </w:rPr>
  </w:style>
  <w:style w:type="paragraph" w:styleId="27">
    <w:name w:val="footer"/>
    <w:basedOn w:val="0"/>
    <w:next w:val="27"/>
    <w:link w:val="28"/>
    <w:uiPriority w:val="0"/>
    <w:pPr>
      <w:tabs>
        <w:tab w:val="center" w:leader="none" w:pos="4252"/>
        <w:tab w:val="right" w:leader="none" w:pos="8504"/>
      </w:tabs>
      <w:snapToGrid w:val="0"/>
    </w:pPr>
  </w:style>
  <w:style w:type="character" w:styleId="28" w:customStyle="1">
    <w:name w:val="フッター (文字)"/>
    <w:basedOn w:val="10"/>
    <w:next w:val="28"/>
    <w:link w:val="27"/>
    <w:uiPriority w:val="0"/>
    <w:rPr>
      <w:rFonts w:ascii="ＭＳ Ｐ明朝" w:hAnsi="ＭＳ Ｐ明朝" w:eastAsia="ＭＳ Ｐ明朝"/>
    </w:rPr>
  </w:style>
  <w:style w:type="character" w:styleId="29" w:customStyle="1">
    <w:name w:val="見出し 5 (文字)"/>
    <w:basedOn w:val="10"/>
    <w:next w:val="29"/>
    <w:link w:val="5"/>
    <w:uiPriority w:val="0"/>
    <w:rPr>
      <w:rFonts w:asciiTheme="majorHAnsi" w:hAnsiTheme="majorHAnsi" w:eastAsiaTheme="majorEastAsia"/>
    </w:rPr>
  </w:style>
  <w:style w:type="character" w:styleId="30" w:customStyle="1">
    <w:name w:val="見出し 3 (文字)"/>
    <w:basedOn w:val="10"/>
    <w:next w:val="30"/>
    <w:link w:val="3"/>
    <w:uiPriority w:val="0"/>
    <w:rPr>
      <w:rFonts w:asciiTheme="majorHAnsi" w:hAnsiTheme="majorHAnsi" w:eastAsiaTheme="majorEastAsia"/>
      <w:sz w:val="24"/>
    </w:rPr>
  </w:style>
  <w:style w:type="character" w:styleId="31" w:customStyle="1">
    <w:name w:val="見出し 4 (文字)"/>
    <w:basedOn w:val="10"/>
    <w:next w:val="31"/>
    <w:link w:val="4"/>
    <w:uiPriority w:val="0"/>
    <w:rPr>
      <w:rFonts w:ascii="ＭＳ Ｐ明朝" w:hAnsi="ＭＳ Ｐ明朝" w:eastAsia="ＭＳ Ｐ明朝"/>
      <w:b w:val="1"/>
    </w:rPr>
  </w:style>
  <w:style w:type="paragraph" w:styleId="32">
    <w:name w:val="TOC Heading"/>
    <w:basedOn w:val="1"/>
    <w:next w:val="0"/>
    <w:link w:val="0"/>
    <w:uiPriority w:val="0"/>
    <w:qFormat/>
    <w:pPr>
      <w:keepNext w:val="1"/>
      <w:keepLines w:val="1"/>
      <w:widowControl w:val="1"/>
      <w:autoSpaceDE w:val="1"/>
      <w:autoSpaceDN w:val="1"/>
      <w:spacing w:before="240" w:beforeLines="0" w:beforeAutospacing="0" w:line="259" w:lineRule="auto"/>
      <w:ind w:firstLine="0"/>
      <w:outlineLvl w:val="9"/>
    </w:pPr>
    <w:rPr>
      <w:rFonts w:asciiTheme="majorHAnsi" w:hAnsiTheme="majorHAnsi" w:eastAsiaTheme="majorEastAsia"/>
      <w:b w:val="0"/>
      <w:color w:val="366092" w:themeColor="accent1" w:themeShade="BF"/>
      <w:sz w:val="32"/>
    </w:rPr>
  </w:style>
  <w:style w:type="paragraph" w:styleId="33">
    <w:name w:val="toc 2"/>
    <w:basedOn w:val="0"/>
    <w:next w:val="0"/>
    <w:link w:val="0"/>
    <w:uiPriority w:val="0"/>
    <w:pPr>
      <w:widowControl w:val="1"/>
      <w:autoSpaceDE w:val="1"/>
      <w:autoSpaceDN w:val="1"/>
      <w:spacing w:after="100" w:afterLines="0" w:afterAutospacing="0" w:line="259" w:lineRule="auto"/>
      <w:ind w:left="220"/>
    </w:pPr>
    <w:rPr>
      <w:rFonts w:asciiTheme="minorHAnsi" w:hAnsiTheme="minorHAnsi" w:eastAsiaTheme="minorEastAsia"/>
    </w:rPr>
  </w:style>
  <w:style w:type="paragraph" w:styleId="34">
    <w:name w:val="toc 1"/>
    <w:basedOn w:val="0"/>
    <w:next w:val="0"/>
    <w:link w:val="0"/>
    <w:uiPriority w:val="0"/>
    <w:pPr>
      <w:widowControl w:val="1"/>
      <w:tabs>
        <w:tab w:val="right" w:leader="dot" w:pos="9356"/>
      </w:tabs>
      <w:autoSpaceDE w:val="1"/>
      <w:autoSpaceDN w:val="1"/>
      <w:spacing w:line="259" w:lineRule="auto"/>
      <w:ind w:left="220" w:leftChars="100" w:right="220" w:rightChars="100" w:firstLine="221"/>
    </w:pPr>
    <w:rPr>
      <w:rFonts w:asciiTheme="minorHAnsi" w:hAnsiTheme="minorHAnsi" w:eastAsiaTheme="minorEastAsia"/>
    </w:rPr>
  </w:style>
  <w:style w:type="paragraph" w:styleId="35">
    <w:name w:val="toc 3"/>
    <w:basedOn w:val="0"/>
    <w:next w:val="0"/>
    <w:link w:val="0"/>
    <w:uiPriority w:val="0"/>
    <w:pPr>
      <w:widowControl w:val="1"/>
      <w:autoSpaceDE w:val="1"/>
      <w:autoSpaceDN w:val="1"/>
      <w:spacing w:after="100" w:afterLines="0" w:afterAutospacing="0" w:line="259" w:lineRule="auto"/>
      <w:ind w:left="440"/>
    </w:pPr>
    <w:rPr>
      <w:rFonts w:asciiTheme="minorHAnsi" w:hAnsiTheme="minorHAnsi" w:eastAsiaTheme="minorEastAsia"/>
    </w:rPr>
  </w:style>
  <w:style w:type="character" w:styleId="36" w:customStyle="1">
    <w:name w:val="見出し 2 (文字)"/>
    <w:basedOn w:val="10"/>
    <w:next w:val="36"/>
    <w:link w:val="2"/>
    <w:uiPriority w:val="0"/>
    <w:rPr>
      <w:rFonts w:ascii="ＭＳ Ｐ明朝" w:hAnsi="ＭＳ Ｐ明朝" w:eastAsia="ＭＳ Ｐ明朝"/>
      <w:sz w:val="26"/>
    </w:rPr>
  </w:style>
  <w:style w:type="character" w:styleId="37">
    <w:name w:val="annotation reference"/>
    <w:basedOn w:val="10"/>
    <w:next w:val="37"/>
    <w:link w:val="0"/>
    <w:uiPriority w:val="0"/>
    <w:semiHidden/>
    <w:rPr>
      <w:sz w:val="18"/>
    </w:rPr>
  </w:style>
  <w:style w:type="paragraph" w:styleId="38">
    <w:name w:val="annotation text"/>
    <w:basedOn w:val="0"/>
    <w:next w:val="38"/>
    <w:link w:val="39"/>
    <w:uiPriority w:val="0"/>
    <w:semiHidden/>
  </w:style>
  <w:style w:type="character" w:styleId="39" w:customStyle="1">
    <w:name w:val="コメント文字列 (文字)"/>
    <w:basedOn w:val="10"/>
    <w:next w:val="39"/>
    <w:link w:val="38"/>
    <w:uiPriority w:val="0"/>
    <w:rPr>
      <w:rFonts w:ascii="ＭＳ Ｐ明朝" w:hAnsi="ＭＳ Ｐ明朝" w:eastAsia="ＭＳ Ｐ明朝"/>
    </w:rPr>
  </w:style>
  <w:style w:type="paragraph" w:styleId="40">
    <w:name w:val="annotation subject"/>
    <w:basedOn w:val="38"/>
    <w:next w:val="38"/>
    <w:link w:val="41"/>
    <w:uiPriority w:val="0"/>
    <w:semiHidden/>
    <w:rPr>
      <w:b w:val="1"/>
    </w:rPr>
  </w:style>
  <w:style w:type="character" w:styleId="41" w:customStyle="1">
    <w:name w:val="コメント内容 (文字)"/>
    <w:basedOn w:val="39"/>
    <w:next w:val="41"/>
    <w:link w:val="40"/>
    <w:uiPriority w:val="0"/>
    <w:rPr>
      <w:rFonts w:ascii="ＭＳ Ｐ明朝" w:hAnsi="ＭＳ Ｐ明朝" w:eastAsia="ＭＳ Ｐ明朝"/>
      <w:b w:val="1"/>
    </w:rPr>
  </w:style>
  <w:style w:type="character" w:styleId="42">
    <w:name w:val="FollowedHyperlink"/>
    <w:basedOn w:val="10"/>
    <w:next w:val="42"/>
    <w:link w:val="0"/>
    <w:uiPriority w:val="0"/>
    <w:rPr>
      <w:color w:val="800080" w:themeColor="followedHyperlink"/>
      <w:u w:val="single" w:color="auto"/>
    </w:rPr>
  </w:style>
  <w:style w:type="paragraph" w:styleId="43">
    <w:name w:val="Normal (Web)"/>
    <w:basedOn w:val="0"/>
    <w:next w:val="43"/>
    <w:link w:val="0"/>
    <w:uiPriority w:val="0"/>
    <w:pPr>
      <w:widowControl w:val="1"/>
      <w:autoSpaceDE w:val="1"/>
      <w:autoSpaceDN w:val="1"/>
      <w:spacing w:before="100" w:beforeLines="0" w:beforeAutospacing="1" w:after="100" w:afterLines="0" w:afterAutospacing="1"/>
    </w:pPr>
    <w:rPr>
      <w:rFonts w:ascii="ＭＳ Ｐゴシック" w:hAnsi="ＭＳ Ｐゴシック" w:eastAsia="ＭＳ Ｐゴシック"/>
      <w:sz w:val="24"/>
    </w:rPr>
  </w:style>
  <w:style w:type="paragraph" w:styleId="44">
    <w:name w:val="Revision"/>
    <w:next w:val="44"/>
    <w:link w:val="0"/>
    <w:uiPriority w:val="0"/>
    <w:pPr>
      <w:widowControl w:val="1"/>
      <w:autoSpaceDE w:val="1"/>
      <w:autoSpaceDN w:val="1"/>
    </w:pPr>
    <w:rPr>
      <w:rFonts w:ascii="ＭＳ Ｐ明朝" w:hAnsi="ＭＳ Ｐ明朝" w:eastAsia="ＭＳ Ｐ明朝"/>
    </w:rPr>
  </w:style>
  <w:style w:type="paragraph" w:styleId="45">
    <w:name w:val="footnote text"/>
    <w:basedOn w:val="0"/>
    <w:next w:val="45"/>
    <w:link w:val="46"/>
    <w:uiPriority w:val="0"/>
    <w:semiHidden/>
    <w:pPr>
      <w:snapToGrid w:val="0"/>
    </w:pPr>
  </w:style>
  <w:style w:type="character" w:styleId="46" w:customStyle="1">
    <w:name w:val="脚注文字列 (文字)"/>
    <w:basedOn w:val="10"/>
    <w:next w:val="46"/>
    <w:link w:val="45"/>
    <w:uiPriority w:val="0"/>
    <w:rPr>
      <w:rFonts w:ascii="ＭＳ Ｐ明朝" w:hAnsi="ＭＳ Ｐ明朝" w:eastAsia="ＭＳ Ｐ明朝"/>
    </w:rPr>
  </w:style>
  <w:style w:type="character" w:styleId="47">
    <w:name w:val="footnote reference"/>
    <w:basedOn w:val="10"/>
    <w:next w:val="47"/>
    <w:link w:val="0"/>
    <w:uiPriority w:val="0"/>
    <w:semiHidden/>
    <w:rPr>
      <w:vertAlign w:val="superscript"/>
    </w:rPr>
  </w:style>
  <w:style w:type="paragraph" w:styleId="48">
    <w:name w:val="Date"/>
    <w:basedOn w:val="0"/>
    <w:next w:val="0"/>
    <w:link w:val="49"/>
    <w:uiPriority w:val="0"/>
  </w:style>
  <w:style w:type="character" w:styleId="49" w:customStyle="1">
    <w:name w:val="日付 (文字)"/>
    <w:basedOn w:val="10"/>
    <w:next w:val="49"/>
    <w:link w:val="48"/>
    <w:uiPriority w:val="0"/>
    <w:rPr>
      <w:rFonts w:ascii="ＭＳ Ｐ明朝" w:hAnsi="ＭＳ Ｐ明朝" w:eastAsia="ＭＳ Ｐ明朝"/>
    </w:rPr>
  </w:style>
  <w:style w:type="character" w:styleId="50" w:customStyle="1">
    <w:name w:val="未解決のメンション2"/>
    <w:basedOn w:val="10"/>
    <w:next w:val="50"/>
    <w:link w:val="0"/>
    <w:uiPriority w:val="0"/>
    <w:rPr>
      <w:color w:val="605E5C"/>
      <w:shd w:val="clear" w:color="auto" w:fill="E1DFDD"/>
    </w:rPr>
  </w:style>
  <w:style w:type="paragraph" w:styleId="51">
    <w:name w:val="Title"/>
    <w:basedOn w:val="0"/>
    <w:next w:val="0"/>
    <w:link w:val="52"/>
    <w:uiPriority w:val="0"/>
    <w:qFormat/>
    <w:pPr>
      <w:ind w:firstLine="360"/>
      <w:jc w:val="center"/>
    </w:pPr>
    <w:rPr>
      <w:sz w:val="36"/>
    </w:rPr>
  </w:style>
  <w:style w:type="character" w:styleId="52" w:customStyle="1">
    <w:name w:val="表題 (文字)"/>
    <w:basedOn w:val="10"/>
    <w:next w:val="52"/>
    <w:link w:val="51"/>
    <w:uiPriority w:val="0"/>
    <w:rPr>
      <w:rFonts w:ascii="ＭＳ Ｐ明朝" w:hAnsi="ＭＳ Ｐ明朝" w:eastAsia="ＭＳ Ｐ明朝"/>
      <w:sz w:val="36"/>
    </w:rPr>
  </w:style>
  <w:style w:type="paragraph" w:styleId="53" w:customStyle="1">
    <w:name w:val="てん"/>
    <w:basedOn w:val="16"/>
    <w:next w:val="53"/>
    <w:link w:val="55"/>
    <w:uiPriority w:val="0"/>
    <w:qFormat/>
    <w:pPr>
      <w:numPr>
        <w:ilvl w:val="0"/>
        <w:numId w:val="4"/>
      </w:numPr>
      <w:ind w:left="709" w:leftChars="0" w:hanging="214" w:firstLineChars="0"/>
    </w:pPr>
  </w:style>
  <w:style w:type="character" w:styleId="54" w:customStyle="1">
    <w:name w:val="リスト段落 (文字)"/>
    <w:basedOn w:val="10"/>
    <w:next w:val="54"/>
    <w:link w:val="16"/>
    <w:uiPriority w:val="0"/>
    <w:rPr>
      <w:rFonts w:ascii="ＭＳ Ｐ明朝" w:hAnsi="ＭＳ Ｐ明朝" w:eastAsia="ＭＳ Ｐ明朝"/>
    </w:rPr>
  </w:style>
  <w:style w:type="character" w:styleId="55" w:customStyle="1">
    <w:name w:val="てん (文字)"/>
    <w:basedOn w:val="54"/>
    <w:next w:val="55"/>
    <w:link w:val="53"/>
    <w:uiPriority w:val="0"/>
    <w:rPr>
      <w:rFonts w:ascii="ＭＳ Ｐ明朝" w:hAnsi="ＭＳ Ｐ明朝" w:eastAsia="ＭＳ Ｐ明朝"/>
    </w:rPr>
  </w:style>
  <w:style w:type="character" w:styleId="56" w:customStyle="1">
    <w:name w:val="未解決のメンション3"/>
    <w:basedOn w:val="10"/>
    <w:next w:val="56"/>
    <w:link w:val="0"/>
    <w:uiPriority w:val="0"/>
    <w:rPr>
      <w:color w:val="605E5C"/>
      <w:shd w:val="clear" w:color="auto" w:fill="E1DFDD"/>
    </w:rPr>
  </w:style>
  <w:style w:type="paragraph" w:styleId="57">
    <w:name w:val="caption"/>
    <w:basedOn w:val="0"/>
    <w:next w:val="0"/>
    <w:link w:val="0"/>
    <w:uiPriority w:val="0"/>
    <w:semiHidden/>
    <w:qFormat/>
    <w:pPr>
      <w:widowControl w:val="1"/>
      <w:autoSpaceDE w:val="1"/>
      <w:autoSpaceDN w:val="1"/>
      <w:ind w:left="0" w:leftChars="0" w:firstLine="0" w:firstLineChars="0"/>
      <w:jc w:val="center"/>
    </w:pPr>
    <w:rPr>
      <w:rFonts w:ascii="ＭＳ Ｐゴシック" w:hAnsi="ＭＳ Ｐゴシック" w:eastAsia="ＭＳ 明朝"/>
    </w:rPr>
  </w:style>
  <w:style w:type="character" w:styleId="58">
    <w:name w:val="endnote reference"/>
    <w:basedOn w:val="10"/>
    <w:next w:val="58"/>
    <w:link w:val="0"/>
    <w:uiPriority w:val="0"/>
    <w:semiHidden/>
    <w:rPr>
      <w:vertAlign w:val="superscript"/>
    </w:rPr>
  </w:style>
  <w:style w:type="table" w:styleId="59" w:customStyle="1">
    <w:name w:val="Table Normal"/>
    <w:basedOn w:val="11"/>
    <w:next w:val="59"/>
    <w:link w:val="0"/>
    <w:uiPriority w:val="0"/>
    <w:tblPr>
      <w:tblStyleRowBandSize w:val="1"/>
      <w:tblStyleColBandSize w:val="1"/>
      <w:tblInd w:w="0" w:type="dxa"/>
      <w:tblCellMar>
        <w:top w:w="0" w:type="dxa"/>
        <w:bottom w:w="0" w:type="dxa"/>
        <w:left w:w="0" w:type="dxa"/>
        <w:right w:w="0" w:type="dxa"/>
      </w:tblCellMar>
    </w:tblPr>
    <w:trPr/>
    <w:tcPr/>
  </w:style>
  <w:style w:type="table" w:styleId="60">
    <w:name w:val="Table Grid"/>
    <w:basedOn w:val="11"/>
    <w:next w:val="60"/>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61" w:customStyle="1">
    <w:name w:val="TableGrid"/>
    <w:basedOn w:val="11"/>
    <w:next w:val="61"/>
    <w:link w:val="0"/>
    <w:uiPriority w:val="0"/>
    <w:pPr>
      <w:widowControl w:val="1"/>
      <w:autoSpaceDE w:val="1"/>
      <w:autoSpaceDN w:val="1"/>
    </w:pPr>
    <w:rPr>
      <w:kern w:val="2"/>
      <w:sz w:val="21"/>
    </w:rPr>
    <w:tblPr>
      <w:tblStyleRowBandSize w:val="1"/>
      <w:tblStyleColBandSize w:val="1"/>
      <w:tblCellMar>
        <w:top w:w="0" w:type="dxa"/>
        <w:bottom w:w="0" w:type="dxa"/>
        <w:left w:w="0" w:type="dxa"/>
        <w:right w:w="0" w:type="dxa"/>
      </w:tblCellMar>
    </w:tblPr>
    <w:trPr/>
    <w:tcPr/>
  </w:style>
</w:style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fontTable" Target="fontTable.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theme" Target="theme/theme1.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1E0EFB-B67B-46FF-9A6A-066D3C066BAF}"/>
</file>

<file path=customXml/itemProps2.xml><?xml version="1.0" encoding="utf-8"?>
<ds:datastoreItem xmlns:ds="http://schemas.openxmlformats.org/officeDocument/2006/customXml" ds:itemID="{28FACC41-1E14-4582-854B-2F7DBEE9DC48}"/>
</file>

<file path=customXml/itemProps3.xml><?xml version="1.0" encoding="utf-8"?>
<ds:datastoreItem xmlns:ds="http://schemas.openxmlformats.org/officeDocument/2006/customXml" ds:itemID="{DD3B10E1-CDEE-4AB6-BCCF-7926DEDA69ED}"/>
</file>

<file path=docProps/app.xml><?xml version="1.0" encoding="utf-8"?>
<Properties xmlns:vt="http://schemas.openxmlformats.org/officeDocument/2006/docPropsVTypes" xmlns="http://schemas.openxmlformats.org/officeDocument/2006/extended-properties">
  <Template>Normal.dot</Template>
  <TotalTime>2</TotalTime>
  <Pages>3</Pages>
  <Words>27</Words>
  <Characters>1859</Characters>
  <Application>JUST Note</Application>
  <Lines>166</Lines>
  <Paragraphs>54</Paragraphs>
  <CharactersWithSpaces>1872</CharactersWithSpaces>
  <AppVersion>5.0.5</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岩田 圭介</dc:creator>
  <cp:lastModifiedBy>御村 聡美</cp:lastModifiedBy>
  <cp:revision>3</cp:revision>
  <dcterms:created xsi:type="dcterms:W3CDTF">2026-02-18T02:37:00Z</dcterms:created>
  <dcterms:modified xsi:type="dcterms:W3CDTF">2026-02-18T02:57:35Z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Created">
    <vt:filetime>2020-05-07T00:00:00Z</vt:filetime>
  </property>
  <property fmtid="{D5CDD505-2E9C-101B-9397-08002B2CF9AE}" pid="4" name="Creator">
    <vt:lpwstr>Microsoft® Word for Office 365</vt:lpwstr>
  </property>
  <property fmtid="{D5CDD505-2E9C-101B-9397-08002B2CF9AE}" pid="5" name="LastSaved">
    <vt:filetime>2020-07-16T00:00:00Z</vt:filetime>
  </property>
  <property fmtid="{D5CDD505-2E9C-101B-9397-08002B2CF9AE}" pid="6" name="MediaServiceImageTags">
    <vt:lpwstr/>
  </property>
</Properties>
</file>