
<file path=[Content_Types].xml><?xml version="1.0" encoding="utf-8"?>
<Types xmlns="http://schemas.openxmlformats.org/package/2006/content-types">
  <Default Extension="bmp" ContentType="image/bmp"/>
  <Default Extension="dib" ContentType="image/dib"/>
  <Default Extension="emf" ContentType="image/x-emf"/>
  <Default Extension="gif" ContentType="image/gif"/>
  <Default Extension="glb" ContentType="model/gltf.binary"/>
  <Default Extension="jpg" ContentType="image/jpeg"/>
  <Default Extension="png" ContentType="image/png"/>
  <Default Extension="rels" ContentType="application/vnd.openxmlformats-package.relationships+xml"/>
  <Default Extension="svg" ContentType="image/svg+xml"/>
  <Default Extension="tiff" ContentType="image/tiff"/>
  <Default Extension="wdp" ContentType="image/vnd.ms-photo"/>
  <Default Extension="wmf" ContentType="image/x-wmf"/>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 Id="rId4" Type="http://schemas.openxmlformats.org/officeDocument/2006/relationships/custom-properties" Target="docProps/custom.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51"/>
        <w:ind w:left="0" w:leftChars="0" w:firstLine="0" w:firstLineChars="0"/>
        <w:jc w:val="left"/>
        <w:rPr>
          <w:rFonts w:hint="default"/>
          <w:sz w:val="28"/>
        </w:rPr>
      </w:pPr>
      <w:r>
        <w:rPr>
          <w:rFonts w:hint="default"/>
          <w:spacing w:val="-4"/>
        </w:rPr>
        <mc:AlternateContent>
          <mc:Choice Requires="wps">
            <w:drawing>
              <wp:anchor distT="45720" distB="45720" distL="114300" distR="114300" simplePos="0" relativeHeight="3" behindDoc="0" locked="0" layoutInCell="1" hidden="0" allowOverlap="1">
                <wp:simplePos x="0" y="0"/>
                <wp:positionH relativeFrom="column">
                  <wp:posOffset>3996055</wp:posOffset>
                </wp:positionH>
                <wp:positionV relativeFrom="paragraph">
                  <wp:posOffset>78105</wp:posOffset>
                </wp:positionV>
                <wp:extent cx="2453005" cy="210820"/>
                <wp:effectExtent l="635" t="635" r="29845" b="10795"/>
                <wp:wrapSquare wrapText="bothSides"/>
                <wp:docPr id="1026" name="テキスト ボックス 5"/>
                <a:graphic xmlns:a="http://schemas.openxmlformats.org/drawingml/2006/main">
                  <a:graphicData uri="http://schemas.microsoft.com/office/word/2010/wordprocessingShape">
                    <wps:wsp>
                      <wps:cNvPr id="1026" name="テキスト ボックス 5"/>
                      <wps:cNvSpPr txBox="1">
                        <a:spLocks noChangeArrowheads="1"/>
                      </wps:cNvSpPr>
                      <wps:spPr>
                        <a:xfrm>
                          <a:off x="0" y="0"/>
                          <a:ext cx="2453005" cy="210820"/>
                        </a:xfrm>
                        <a:prstGeom prst="rect">
                          <a:avLst/>
                        </a:prstGeom>
                        <a:solidFill>
                          <a:srgbClr val="FFFFFF"/>
                        </a:solidFill>
                        <a:ln w="9525">
                          <a:solidFill>
                            <a:srgbClr val="000000"/>
                          </a:solidFill>
                          <a:miter lim="800000"/>
                          <a:headEnd/>
                          <a:tailEnd/>
                        </a:ln>
                      </wps:spPr>
                      <wps:txbx>
                        <w:txbxContent>
                          <w:p>
                            <w:pPr>
                              <w:pStyle w:val="0"/>
                              <w:ind w:left="0" w:leftChars="0" w:firstLine="0" w:firstLineChars="0"/>
                              <w:jc w:val="center"/>
                              <w:rPr>
                                <w:rFonts w:hint="default"/>
                              </w:rPr>
                            </w:pPr>
                            <w:r>
                              <w:rPr>
                                <w:rFonts w:hint="eastAsia"/>
                              </w:rPr>
                              <w:t>自治体名：岡山県津山市</w:t>
                            </w:r>
                          </w:p>
                        </w:txbxContent>
                      </wps:txbx>
                      <wps:bodyPr rot="0" vertOverflow="overflow" horzOverflow="overflow" wrap="square" lIns="0" tIns="0" rIns="0" bIns="0" anchor="t" anchorCtr="0"/>
                    </wps:wsp>
                  </a:graphicData>
                </a:graphic>
              </wp:anchor>
            </w:drawing>
          </mc:Choice>
          <mc:Fallback>
            <w:pict>
              <v:shapetype id="_x0000_t202" coordsize="21600,21600" o:spt="202" path="m,l,21600r21600,l21600,xe">
                <v:stroke joinstyle="miter"/>
                <v:path gradientshapeok="t" o:connecttype="rect"/>
              </v:shapetype>
              <v:shape id="テキスト ボックス 5" style="mso-wrap-distance-right:9pt;mso-wrap-distance-bottom:3.6pt;margin-top:6.15pt;mso-position-vertical-relative:text;mso-position-horizontal-relative:text;v-text-anchor:top;position:absolute;mso-wrap-mode:square;height:16.600000000000001pt;mso-wrap-distance-top:3.6pt;width:193.15pt;mso-wrap-distance-left:9pt;margin-left:314.64pt;z-index:3;" o:spid="_x0000_s1026" o:allowincell="t" o:allowoverlap="t" filled="t" fillcolor="#ffffff" stroked="t" strokecolor="#000000" strokeweight="0.75pt" o:spt="202" type="#_x0000_t202">
                <v:fill/>
                <v:stroke miterlimit="8" filltype="solid"/>
                <v:textbox style="layout-flow:horizontal;" inset="0mm,0mm,0mm,0mm">
                  <w:txbxContent>
                    <w:p>
                      <w:pPr>
                        <w:pStyle w:val="0"/>
                        <w:ind w:left="0" w:leftChars="0" w:firstLine="0" w:firstLineChars="0"/>
                        <w:jc w:val="center"/>
                        <w:rPr>
                          <w:rFonts w:hint="default"/>
                        </w:rPr>
                      </w:pPr>
                      <w:r>
                        <w:rPr>
                          <w:rFonts w:hint="eastAsia"/>
                        </w:rPr>
                        <w:t>自治体名：岡山県津山市</w:t>
                      </w:r>
                    </w:p>
                  </w:txbxContent>
                </v:textbox>
                <v:imagedata o:title=""/>
                <w10:wrap type="square" side="both" anchorx="text" anchory="text"/>
              </v:shape>
            </w:pict>
          </mc:Fallback>
        </mc:AlternateContent>
      </w:r>
    </w:p>
    <w:p>
      <w:pPr>
        <w:pStyle w:val="0"/>
        <w:ind w:left="0" w:leftChars="0" w:firstLine="0" w:firstLineChars="0"/>
        <w:rPr>
          <w:rFonts w:hint="default"/>
        </w:rPr>
      </w:pPr>
    </w:p>
    <w:p>
      <w:pPr>
        <w:pStyle w:val="51"/>
        <w:ind w:left="0" w:leftChars="0" w:firstLine="0" w:firstLineChars="0"/>
        <w:rPr>
          <w:rFonts w:hint="default"/>
          <w:sz w:val="28"/>
        </w:rPr>
      </w:pPr>
      <w:bookmarkStart w:id="0" w:name="_Hlk100911823"/>
      <w:r>
        <w:rPr>
          <w:rFonts w:hint="eastAsia"/>
          <w:sz w:val="28"/>
        </w:rPr>
        <w:t>自動運転社会実装推進事業</w:t>
      </w:r>
    </w:p>
    <w:p>
      <w:pPr>
        <w:pStyle w:val="51"/>
        <w:ind w:left="0" w:leftChars="0" w:firstLine="0" w:firstLineChars="0"/>
        <w:rPr>
          <w:rFonts w:hint="default"/>
          <w:sz w:val="28"/>
        </w:rPr>
      </w:pPr>
      <w:r>
        <w:rPr>
          <w:rFonts w:hint="eastAsia"/>
          <w:sz w:val="28"/>
        </w:rPr>
        <w:t>最終報告書（公開版）</w:t>
      </w:r>
    </w:p>
    <w:p>
      <w:pPr>
        <w:pStyle w:val="0"/>
        <w:ind w:left="0" w:leftChars="0" w:firstLine="0" w:firstLineChars="0"/>
        <w:rPr>
          <w:rFonts w:hint="default"/>
        </w:rPr>
      </w:pPr>
    </w:p>
    <w:p>
      <w:pPr>
        <w:pStyle w:val="0"/>
        <w:ind w:left="0" w:leftChars="0" w:firstLine="0" w:firstLineChars="0"/>
        <w:rPr>
          <w:rFonts w:hint="default"/>
          <w:spacing w:val="-4"/>
          <w:sz w:val="26"/>
        </w:rPr>
      </w:pPr>
      <w:bookmarkEnd w:id="0"/>
      <w:r>
        <w:rPr>
          <w:rFonts w:hint="default"/>
          <w:b w:val="1"/>
          <w:spacing w:val="-4"/>
        </w:rPr>
        <mc:AlternateContent>
          <mc:Choice Requires="wps">
            <w:drawing>
              <wp:anchor distT="45720" distB="45720" distL="114300" distR="114300" simplePos="0" relativeHeight="2" behindDoc="0" locked="0" layoutInCell="1" hidden="0" allowOverlap="1">
                <wp:simplePos x="0" y="0"/>
                <wp:positionH relativeFrom="column">
                  <wp:posOffset>63500</wp:posOffset>
                </wp:positionH>
                <wp:positionV relativeFrom="paragraph">
                  <wp:posOffset>289560</wp:posOffset>
                </wp:positionV>
                <wp:extent cx="6386195" cy="826770"/>
                <wp:effectExtent l="635" t="635" r="29845" b="10795"/>
                <wp:wrapSquare wrapText="bothSides"/>
                <wp:docPr id="1027" name="テキスト ボックス 217"/>
                <a:graphic xmlns:a="http://schemas.openxmlformats.org/drawingml/2006/main">
                  <a:graphicData uri="http://schemas.microsoft.com/office/word/2010/wordprocessingShape">
                    <wps:wsp>
                      <wps:cNvPr id="1027" name="テキスト ボックス 217"/>
                      <wps:cNvSpPr txBox="1">
                        <a:spLocks noChangeArrowheads="1"/>
                      </wps:cNvSpPr>
                      <wps:spPr>
                        <a:xfrm>
                          <a:off x="0" y="0"/>
                          <a:ext cx="6386195" cy="826770"/>
                        </a:xfrm>
                        <a:prstGeom prst="rect">
                          <a:avLst/>
                        </a:prstGeom>
                        <a:solidFill>
                          <a:srgbClr val="FFFFFF"/>
                        </a:solidFill>
                        <a:ln w="9525">
                          <a:solidFill>
                            <a:srgbClr val="000000"/>
                          </a:solidFill>
                          <a:miter lim="800000"/>
                          <a:headEnd/>
                          <a:tailEnd/>
                        </a:ln>
                      </wps:spPr>
                      <wps:txbx>
                        <w:txbxContent>
                          <w:p>
                            <w:pPr>
                              <w:pStyle w:val="0"/>
                              <w:ind w:left="0" w:leftChars="0"/>
                              <w:rPr>
                                <w:rFonts w:hint="default"/>
                              </w:rPr>
                            </w:pPr>
                            <w:r>
                              <w:rPr>
                                <w:rFonts w:hint="default"/>
                              </w:rPr>
                              <w:t>旧津山市地域におけるバス路線利用者の減少と交通空白地域の存在</w:t>
                            </w:r>
                            <w:r>
                              <w:rPr>
                                <w:rFonts w:hint="eastAsia"/>
                              </w:rPr>
                              <w:t>に対し、</w:t>
                            </w:r>
                            <w:r>
                              <w:rPr>
                                <w:rFonts w:hint="default"/>
                              </w:rPr>
                              <w:t>特に</w:t>
                            </w:r>
                            <w:bookmarkStart w:id="1" w:name="_GoBack"/>
                            <w:bookmarkEnd w:id="1"/>
                            <w:r>
                              <w:rPr>
                                <w:rFonts w:hint="default"/>
                              </w:rPr>
                              <w:t>北部エリアでの路線再編が必要不可欠</w:t>
                            </w:r>
                            <w:r>
                              <w:rPr>
                                <w:rFonts w:hint="eastAsia"/>
                              </w:rPr>
                              <w:t>となっている。</w:t>
                            </w:r>
                            <w:r>
                              <w:rPr>
                                <w:rFonts w:hint="default"/>
                              </w:rPr>
                              <w:t>「津山駅</w:t>
                            </w:r>
                            <w:r>
                              <w:rPr>
                                <w:rFonts w:hint="default"/>
                              </w:rPr>
                              <w:t>⇔</w:t>
                            </w:r>
                            <w:r>
                              <w:rPr>
                                <w:rFonts w:hint="default"/>
                              </w:rPr>
                              <w:t>リージョンセンター」間で自動運転バスを高頻度運行し、利便性を向上させること。また、乗務員不足の解決に寄与し、持続可能な地域公共交通網を実現すること</w:t>
                            </w:r>
                            <w:r>
                              <w:rPr>
                                <w:rFonts w:hint="eastAsia"/>
                              </w:rPr>
                              <w:t>を目的に自動運転バスによる実証実験を実施した。</w:t>
                            </w:r>
                          </w:p>
                        </w:txbxContent>
                      </wps:txbx>
                      <wps:bodyPr rot="0" vertOverflow="overflow" horzOverflow="overflow" wrap="square" anchor="t" anchorCtr="0"/>
                    </wps:wsp>
                  </a:graphicData>
                </a:graphic>
              </wp:anchor>
            </w:drawing>
          </mc:Choice>
          <mc:Fallback>
            <w:pict>
              <v:shapetype id="_x0000_t202" coordsize="21600,21600" o:spt="202" path="m,l,21600r21600,l21600,xe">
                <v:stroke joinstyle="miter"/>
                <v:path gradientshapeok="t" o:connecttype="rect"/>
              </v:shapetype>
              <v:shape id="テキスト ボックス 217" style="mso-wrap-distance-right:9pt;mso-wrap-distance-bottom:3.6pt;margin-top:22.8pt;mso-position-vertical-relative:text;mso-position-horizontal-relative:text;v-text-anchor:top;position:absolute;mso-wrap-mode:square;height:65.09pt;mso-wrap-distance-top:3.6pt;width:502.85pt;mso-wrap-distance-left:9pt;margin-left:5pt;z-index:2;" o:spid="_x0000_s1027" o:allowincell="t" o:allowoverlap="t" filled="t" fillcolor="#ffffff" stroked="t" strokecolor="#000000" strokeweight="0.75pt" o:spt="202" type="#_x0000_t202">
                <v:fill/>
                <v:stroke miterlimit="8" filltype="solid"/>
                <v:textbox style="layout-flow:horizontal;">
                  <w:txbxContent>
                    <w:p>
                      <w:pPr>
                        <w:pStyle w:val="0"/>
                        <w:ind w:left="0" w:leftChars="0"/>
                        <w:rPr>
                          <w:rFonts w:hint="default"/>
                        </w:rPr>
                      </w:pPr>
                      <w:r>
                        <w:rPr>
                          <w:rFonts w:hint="default"/>
                        </w:rPr>
                        <w:t>旧津山市地域におけるバス路線利用者の減少と交通空白地域の存在</w:t>
                      </w:r>
                      <w:r>
                        <w:rPr>
                          <w:rFonts w:hint="eastAsia"/>
                        </w:rPr>
                        <w:t>に対し、</w:t>
                      </w:r>
                      <w:r>
                        <w:rPr>
                          <w:rFonts w:hint="default"/>
                        </w:rPr>
                        <w:t>特に</w:t>
                      </w:r>
                      <w:bookmarkStart w:id="2" w:name="_GoBack"/>
                      <w:bookmarkEnd w:id="2"/>
                      <w:r>
                        <w:rPr>
                          <w:rFonts w:hint="default"/>
                        </w:rPr>
                        <w:t>北部エリアでの路線再編が必要不可欠</w:t>
                      </w:r>
                      <w:r>
                        <w:rPr>
                          <w:rFonts w:hint="eastAsia"/>
                        </w:rPr>
                        <w:t>となっている。</w:t>
                      </w:r>
                      <w:r>
                        <w:rPr>
                          <w:rFonts w:hint="default"/>
                        </w:rPr>
                        <w:t>「津山駅</w:t>
                      </w:r>
                      <w:r>
                        <w:rPr>
                          <w:rFonts w:hint="default"/>
                        </w:rPr>
                        <w:t>⇔</w:t>
                      </w:r>
                      <w:r>
                        <w:rPr>
                          <w:rFonts w:hint="default"/>
                        </w:rPr>
                        <w:t>リージョンセンター」間で自動運転バスを高頻度運行し、利便性を向上させること。また、乗務員不足の解決に寄与し、持続可能な地域公共交通網を実現すること</w:t>
                      </w:r>
                      <w:r>
                        <w:rPr>
                          <w:rFonts w:hint="eastAsia"/>
                        </w:rPr>
                        <w:t>を目的に自動運転バスによる実証実験を実施した。</w:t>
                      </w:r>
                    </w:p>
                  </w:txbxContent>
                </v:textbox>
                <v:imagedata o:title=""/>
                <w10:wrap type="square" side="both" anchorx="text" anchory="text"/>
              </v:shape>
            </w:pict>
          </mc:Fallback>
        </mc:AlternateContent>
      </w:r>
      <w:commentRangeStart w:id="1"/>
      <w:r>
        <w:rPr>
          <w:rFonts w:hint="eastAsia"/>
          <w:b w:val="1"/>
          <w:spacing w:val="-4"/>
          <w:sz w:val="26"/>
        </w:rPr>
        <w:t>【事業背景・目的】</w:t>
      </w:r>
      <w:commentRangeEnd w:id="1"/>
      <w:r>
        <w:rPr>
          <w:rFonts w:hint="eastAsia"/>
          <w:b w:val="1"/>
          <w:spacing w:val="-4"/>
          <w:sz w:val="26"/>
        </w:rPr>
        <w:commentReference w:id="1"/>
      </w:r>
    </w:p>
    <w:p>
      <w:pPr>
        <w:pStyle w:val="0"/>
        <w:ind w:left="0" w:leftChars="0" w:firstLine="0" w:firstLineChars="0"/>
        <w:rPr>
          <w:rFonts w:hint="default"/>
          <w:spacing w:val="-4"/>
          <w:sz w:val="6"/>
        </w:rPr>
      </w:pPr>
    </w:p>
    <w:p>
      <w:pPr>
        <w:pStyle w:val="0"/>
        <w:ind w:left="0" w:leftChars="0" w:firstLine="0" w:firstLineChars="0"/>
        <w:rPr>
          <w:rFonts w:hint="default"/>
          <w:b w:val="1"/>
          <w:spacing w:val="-4"/>
          <w:sz w:val="26"/>
        </w:rPr>
      </w:pPr>
      <w:commentRangeStart w:id="2"/>
      <w:r>
        <w:rPr>
          <w:rFonts w:hint="default"/>
          <w:spacing w:val="-4"/>
        </w:rPr>
        <mc:AlternateContent>
          <mc:Choice Requires="wps">
            <w:drawing>
              <wp:anchor distT="45720" distB="45720" distL="114300" distR="114300" simplePos="0" relativeHeight="7" behindDoc="0" locked="0" layoutInCell="1" hidden="0" allowOverlap="1">
                <wp:simplePos x="0" y="0"/>
                <wp:positionH relativeFrom="column">
                  <wp:posOffset>63500</wp:posOffset>
                </wp:positionH>
                <wp:positionV relativeFrom="paragraph">
                  <wp:posOffset>274955</wp:posOffset>
                </wp:positionV>
                <wp:extent cx="6386195" cy="1208405"/>
                <wp:effectExtent l="635" t="635" r="29845" b="10795"/>
                <wp:wrapSquare wrapText="bothSides"/>
                <wp:docPr id="1028" name="テキスト ボックス 3"/>
                <a:graphic xmlns:a="http://schemas.openxmlformats.org/drawingml/2006/main">
                  <a:graphicData uri="http://schemas.microsoft.com/office/word/2010/wordprocessingShape">
                    <wps:wsp>
                      <wps:cNvPr id="1028" name="テキスト ボックス 3"/>
                      <wps:cNvSpPr txBox="1">
                        <a:spLocks noChangeArrowheads="1"/>
                      </wps:cNvSpPr>
                      <wps:spPr>
                        <a:xfrm>
                          <a:off x="0" y="0"/>
                          <a:ext cx="6386195" cy="1208405"/>
                        </a:xfrm>
                        <a:prstGeom prst="rect">
                          <a:avLst/>
                        </a:prstGeom>
                        <a:solidFill>
                          <a:srgbClr val="FFFFFF"/>
                        </a:solidFill>
                        <a:ln w="9525">
                          <a:solidFill>
                            <a:srgbClr val="000000"/>
                          </a:solidFill>
                          <a:miter lim="800000"/>
                          <a:headEnd/>
                          <a:tailEnd/>
                        </a:ln>
                      </wps:spPr>
                      <wps:txbx>
                        <w:txbxContent>
                          <w:p>
                            <w:pPr>
                              <w:pStyle w:val="16"/>
                              <w:numPr>
                                <w:ilvl w:val="0"/>
                                <w:numId w:val="5"/>
                              </w:numPr>
                              <w:ind w:leftChars="0" w:firstLineChars="0"/>
                              <w:rPr>
                                <w:rFonts w:hint="default"/>
                              </w:rPr>
                            </w:pPr>
                            <w:r>
                              <w:rPr>
                                <w:rFonts w:hint="eastAsia"/>
                              </w:rPr>
                              <w:t>運行ルートは、</w:t>
                            </w:r>
                            <w:r>
                              <w:rPr>
                                <w:rFonts w:hint="default"/>
                              </w:rPr>
                              <w:t>津山駅前（</w:t>
                            </w:r>
                            <w:r>
                              <w:rPr>
                                <w:rFonts w:hint="default"/>
                              </w:rPr>
                              <w:t>6</w:t>
                            </w:r>
                            <w:r>
                              <w:rPr>
                                <w:rFonts w:hint="default"/>
                              </w:rPr>
                              <w:t>番乗り場）～リージョンセンター前片道約</w:t>
                            </w:r>
                            <w:r>
                              <w:rPr>
                                <w:rFonts w:hint="default"/>
                              </w:rPr>
                              <w:t>5km</w:t>
                            </w:r>
                            <w:r>
                              <w:rPr>
                                <w:rFonts w:hint="default"/>
                              </w:rPr>
                              <w:t>。鶴山通りを北上するルート</w:t>
                            </w:r>
                            <w:r>
                              <w:rPr>
                                <w:rFonts w:hint="eastAsia"/>
                              </w:rPr>
                              <w:t>であり、</w:t>
                            </w:r>
                            <w:r>
                              <w:rPr>
                                <w:rFonts w:hint="default"/>
                              </w:rPr>
                              <w:t>右左折が少なく、道路幅員が十分（片側</w:t>
                            </w:r>
                            <w:r>
                              <w:rPr>
                                <w:rFonts w:hint="default"/>
                              </w:rPr>
                              <w:t>1</w:t>
                            </w:r>
                            <w:r>
                              <w:rPr>
                                <w:rFonts w:hint="default"/>
                              </w:rPr>
                              <w:t>車線）で自動運転に適していると</w:t>
                            </w:r>
                            <w:r>
                              <w:rPr>
                                <w:rFonts w:hint="eastAsia"/>
                              </w:rPr>
                              <w:t>判断し設定した。</w:t>
                            </w:r>
                          </w:p>
                          <w:p>
                            <w:pPr>
                              <w:pStyle w:val="16"/>
                              <w:numPr>
                                <w:ilvl w:val="0"/>
                                <w:numId w:val="5"/>
                              </w:numPr>
                              <w:ind w:leftChars="0" w:firstLineChars="0"/>
                              <w:rPr>
                                <w:rFonts w:hint="default"/>
                              </w:rPr>
                            </w:pPr>
                            <w:r>
                              <w:rPr>
                                <w:rFonts w:hint="eastAsia"/>
                              </w:rPr>
                              <w:t>運行期間は、</w:t>
                            </w:r>
                            <w:r>
                              <w:rPr>
                                <w:rFonts w:hint="default"/>
                              </w:rPr>
                              <w:t>2025</w:t>
                            </w:r>
                            <w:r>
                              <w:rPr>
                                <w:rFonts w:hint="default"/>
                              </w:rPr>
                              <w:t>年</w:t>
                            </w:r>
                            <w:r>
                              <w:rPr>
                                <w:rFonts w:hint="default"/>
                              </w:rPr>
                              <w:t>11</w:t>
                            </w:r>
                            <w:r>
                              <w:rPr>
                                <w:rFonts w:hint="default"/>
                              </w:rPr>
                              <w:t>月</w:t>
                            </w:r>
                            <w:r>
                              <w:rPr>
                                <w:rFonts w:hint="default"/>
                              </w:rPr>
                              <w:t>4</w:t>
                            </w:r>
                            <w:r>
                              <w:rPr>
                                <w:rFonts w:hint="default"/>
                              </w:rPr>
                              <w:t>日～</w:t>
                            </w:r>
                            <w:r>
                              <w:rPr>
                                <w:rFonts w:hint="default"/>
                              </w:rPr>
                              <w:t>11</w:t>
                            </w:r>
                            <w:r>
                              <w:rPr>
                                <w:rFonts w:hint="default"/>
                              </w:rPr>
                              <w:t>月</w:t>
                            </w:r>
                            <w:r>
                              <w:rPr>
                                <w:rFonts w:hint="default"/>
                              </w:rPr>
                              <w:t>11</w:t>
                            </w:r>
                            <w:r>
                              <w:rPr>
                                <w:rFonts w:hint="default"/>
                              </w:rPr>
                              <w:t>日（準備運行）、</w:t>
                            </w:r>
                            <w:r>
                              <w:rPr>
                                <w:rFonts w:hint="default"/>
                              </w:rPr>
                              <w:t>11</w:t>
                            </w:r>
                            <w:r>
                              <w:rPr>
                                <w:rFonts w:hint="default"/>
                              </w:rPr>
                              <w:t>月</w:t>
                            </w:r>
                            <w:r>
                              <w:rPr>
                                <w:rFonts w:hint="default"/>
                              </w:rPr>
                              <w:t>13</w:t>
                            </w:r>
                            <w:r>
                              <w:rPr>
                                <w:rFonts w:hint="default"/>
                              </w:rPr>
                              <w:t>日～</w:t>
                            </w:r>
                            <w:r>
                              <w:rPr>
                                <w:rFonts w:hint="default"/>
                              </w:rPr>
                              <w:t>11</w:t>
                            </w:r>
                            <w:r>
                              <w:rPr>
                                <w:rFonts w:hint="default"/>
                              </w:rPr>
                              <w:t>月</w:t>
                            </w:r>
                            <w:r>
                              <w:rPr>
                                <w:rFonts w:hint="default"/>
                              </w:rPr>
                              <w:t>24</w:t>
                            </w:r>
                            <w:r>
                              <w:rPr>
                                <w:rFonts w:hint="default"/>
                              </w:rPr>
                              <w:t>日のうち計</w:t>
                            </w:r>
                            <w:r>
                              <w:rPr>
                                <w:rFonts w:hint="default"/>
                              </w:rPr>
                              <w:t>8</w:t>
                            </w:r>
                            <w:r>
                              <w:rPr>
                                <w:rFonts w:hint="default"/>
                              </w:rPr>
                              <w:t>日間（試乗運行）</w:t>
                            </w:r>
                            <w:r>
                              <w:rPr>
                                <w:rFonts w:hint="eastAsia"/>
                              </w:rPr>
                              <w:t>実施した。</w:t>
                            </w:r>
                          </w:p>
                          <w:p>
                            <w:pPr>
                              <w:pStyle w:val="16"/>
                              <w:numPr>
                                <w:ilvl w:val="0"/>
                                <w:numId w:val="5"/>
                              </w:numPr>
                              <w:ind w:leftChars="0" w:firstLineChars="0"/>
                              <w:rPr>
                                <w:rFonts w:hint="default"/>
                              </w:rPr>
                            </w:pPr>
                            <w:r>
                              <w:rPr>
                                <w:rFonts w:hint="eastAsia"/>
                              </w:rPr>
                              <w:t>運行車両は、ティアフォー社</w:t>
                            </w:r>
                            <w:r>
                              <w:rPr>
                                <w:rFonts w:hint="default"/>
                              </w:rPr>
                              <w:t>製</w:t>
                            </w:r>
                            <w:r>
                              <w:rPr>
                                <w:rFonts w:hint="default"/>
                              </w:rPr>
                              <w:t xml:space="preserve"> Minibus 1.0</w:t>
                            </w:r>
                            <w:r>
                              <w:rPr>
                                <w:rFonts w:hint="default"/>
                              </w:rPr>
                              <w:t>（</w:t>
                            </w:r>
                            <w:r>
                              <w:rPr>
                                <w:rFonts w:hint="default"/>
                              </w:rPr>
                              <w:t>1</w:t>
                            </w:r>
                            <w:r>
                              <w:rPr>
                                <w:rFonts w:hint="default"/>
                              </w:rPr>
                              <w:t>台、リース）</w:t>
                            </w:r>
                            <w:r>
                              <w:rPr>
                                <w:rFonts w:hint="eastAsia"/>
                              </w:rPr>
                              <w:t>を使用した。</w:t>
                            </w:r>
                          </w:p>
                        </w:txbxContent>
                      </wps:txbx>
                      <wps:bodyPr rot="0" vertOverflow="overflow" horzOverflow="overflow" wrap="square" anchor="t" anchorCtr="0"/>
                    </wps:wsp>
                  </a:graphicData>
                </a:graphic>
              </wp:anchor>
            </w:drawing>
          </mc:Choice>
          <mc:Fallback>
            <w:pict>
              <v:shapetype id="_x0000_t202" coordsize="21600,21600" o:spt="202" path="m,l,21600r21600,l21600,xe">
                <v:stroke joinstyle="miter"/>
                <v:path gradientshapeok="t" o:connecttype="rect"/>
              </v:shapetype>
              <v:shape id="テキスト ボックス 3" style="mso-wrap-distance-right:9pt;mso-wrap-distance-bottom:3.6pt;margin-top:21.65pt;mso-position-vertical-relative:text;mso-position-horizontal-relative:text;v-text-anchor:top;position:absolute;mso-wrap-mode:square;height:95.15pt;mso-wrap-distance-top:3.6pt;width:502.85pt;mso-wrap-distance-left:9pt;margin-left:5pt;z-index:7;" o:spid="_x0000_s1028" o:allowincell="t" o:allowoverlap="t" filled="t" fillcolor="#ffffff" stroked="t" strokecolor="#000000" strokeweight="0.75pt" o:spt="202" type="#_x0000_t202">
                <v:fill/>
                <v:stroke miterlimit="8" filltype="solid"/>
                <v:textbox style="layout-flow:horizontal;">
                  <w:txbxContent>
                    <w:p>
                      <w:pPr>
                        <w:pStyle w:val="16"/>
                        <w:numPr>
                          <w:ilvl w:val="0"/>
                          <w:numId w:val="5"/>
                        </w:numPr>
                        <w:ind w:leftChars="0" w:firstLineChars="0"/>
                        <w:rPr>
                          <w:rFonts w:hint="default"/>
                        </w:rPr>
                      </w:pPr>
                      <w:r>
                        <w:rPr>
                          <w:rFonts w:hint="eastAsia"/>
                        </w:rPr>
                        <w:t>運行ルートは、</w:t>
                      </w:r>
                      <w:r>
                        <w:rPr>
                          <w:rFonts w:hint="default"/>
                        </w:rPr>
                        <w:t>津山駅前（</w:t>
                      </w:r>
                      <w:r>
                        <w:rPr>
                          <w:rFonts w:hint="default"/>
                        </w:rPr>
                        <w:t>6</w:t>
                      </w:r>
                      <w:r>
                        <w:rPr>
                          <w:rFonts w:hint="default"/>
                        </w:rPr>
                        <w:t>番乗り場）～リージョンセンター前片道約</w:t>
                      </w:r>
                      <w:r>
                        <w:rPr>
                          <w:rFonts w:hint="default"/>
                        </w:rPr>
                        <w:t>5km</w:t>
                      </w:r>
                      <w:r>
                        <w:rPr>
                          <w:rFonts w:hint="default"/>
                        </w:rPr>
                        <w:t>。鶴山通りを北上するルート</w:t>
                      </w:r>
                      <w:r>
                        <w:rPr>
                          <w:rFonts w:hint="eastAsia"/>
                        </w:rPr>
                        <w:t>であり、</w:t>
                      </w:r>
                      <w:r>
                        <w:rPr>
                          <w:rFonts w:hint="default"/>
                        </w:rPr>
                        <w:t>右左折が少なく、道路幅員が十分（片側</w:t>
                      </w:r>
                      <w:r>
                        <w:rPr>
                          <w:rFonts w:hint="default"/>
                        </w:rPr>
                        <w:t>1</w:t>
                      </w:r>
                      <w:r>
                        <w:rPr>
                          <w:rFonts w:hint="default"/>
                        </w:rPr>
                        <w:t>車線）で自動運転に適していると</w:t>
                      </w:r>
                      <w:r>
                        <w:rPr>
                          <w:rFonts w:hint="eastAsia"/>
                        </w:rPr>
                        <w:t>判断し設定した。</w:t>
                      </w:r>
                    </w:p>
                    <w:p>
                      <w:pPr>
                        <w:pStyle w:val="16"/>
                        <w:numPr>
                          <w:ilvl w:val="0"/>
                          <w:numId w:val="5"/>
                        </w:numPr>
                        <w:ind w:leftChars="0" w:firstLineChars="0"/>
                        <w:rPr>
                          <w:rFonts w:hint="default"/>
                        </w:rPr>
                      </w:pPr>
                      <w:r>
                        <w:rPr>
                          <w:rFonts w:hint="eastAsia"/>
                        </w:rPr>
                        <w:t>運行期間は、</w:t>
                      </w:r>
                      <w:r>
                        <w:rPr>
                          <w:rFonts w:hint="default"/>
                        </w:rPr>
                        <w:t>2025</w:t>
                      </w:r>
                      <w:r>
                        <w:rPr>
                          <w:rFonts w:hint="default"/>
                        </w:rPr>
                        <w:t>年</w:t>
                      </w:r>
                      <w:r>
                        <w:rPr>
                          <w:rFonts w:hint="default"/>
                        </w:rPr>
                        <w:t>11</w:t>
                      </w:r>
                      <w:r>
                        <w:rPr>
                          <w:rFonts w:hint="default"/>
                        </w:rPr>
                        <w:t>月</w:t>
                      </w:r>
                      <w:r>
                        <w:rPr>
                          <w:rFonts w:hint="default"/>
                        </w:rPr>
                        <w:t>4</w:t>
                      </w:r>
                      <w:r>
                        <w:rPr>
                          <w:rFonts w:hint="default"/>
                        </w:rPr>
                        <w:t>日～</w:t>
                      </w:r>
                      <w:r>
                        <w:rPr>
                          <w:rFonts w:hint="default"/>
                        </w:rPr>
                        <w:t>11</w:t>
                      </w:r>
                      <w:r>
                        <w:rPr>
                          <w:rFonts w:hint="default"/>
                        </w:rPr>
                        <w:t>月</w:t>
                      </w:r>
                      <w:r>
                        <w:rPr>
                          <w:rFonts w:hint="default"/>
                        </w:rPr>
                        <w:t>11</w:t>
                      </w:r>
                      <w:r>
                        <w:rPr>
                          <w:rFonts w:hint="default"/>
                        </w:rPr>
                        <w:t>日（準備運行）、</w:t>
                      </w:r>
                      <w:r>
                        <w:rPr>
                          <w:rFonts w:hint="default"/>
                        </w:rPr>
                        <w:t>11</w:t>
                      </w:r>
                      <w:r>
                        <w:rPr>
                          <w:rFonts w:hint="default"/>
                        </w:rPr>
                        <w:t>月</w:t>
                      </w:r>
                      <w:r>
                        <w:rPr>
                          <w:rFonts w:hint="default"/>
                        </w:rPr>
                        <w:t>13</w:t>
                      </w:r>
                      <w:r>
                        <w:rPr>
                          <w:rFonts w:hint="default"/>
                        </w:rPr>
                        <w:t>日～</w:t>
                      </w:r>
                      <w:r>
                        <w:rPr>
                          <w:rFonts w:hint="default"/>
                        </w:rPr>
                        <w:t>11</w:t>
                      </w:r>
                      <w:r>
                        <w:rPr>
                          <w:rFonts w:hint="default"/>
                        </w:rPr>
                        <w:t>月</w:t>
                      </w:r>
                      <w:r>
                        <w:rPr>
                          <w:rFonts w:hint="default"/>
                        </w:rPr>
                        <w:t>24</w:t>
                      </w:r>
                      <w:r>
                        <w:rPr>
                          <w:rFonts w:hint="default"/>
                        </w:rPr>
                        <w:t>日のうち計</w:t>
                      </w:r>
                      <w:r>
                        <w:rPr>
                          <w:rFonts w:hint="default"/>
                        </w:rPr>
                        <w:t>8</w:t>
                      </w:r>
                      <w:r>
                        <w:rPr>
                          <w:rFonts w:hint="default"/>
                        </w:rPr>
                        <w:t>日間（試乗運行）</w:t>
                      </w:r>
                      <w:r>
                        <w:rPr>
                          <w:rFonts w:hint="eastAsia"/>
                        </w:rPr>
                        <w:t>実施した。</w:t>
                      </w:r>
                    </w:p>
                    <w:p>
                      <w:pPr>
                        <w:pStyle w:val="16"/>
                        <w:numPr>
                          <w:ilvl w:val="0"/>
                          <w:numId w:val="5"/>
                        </w:numPr>
                        <w:ind w:leftChars="0" w:firstLineChars="0"/>
                        <w:rPr>
                          <w:rFonts w:hint="default"/>
                        </w:rPr>
                      </w:pPr>
                      <w:r>
                        <w:rPr>
                          <w:rFonts w:hint="eastAsia"/>
                        </w:rPr>
                        <w:t>運行車両は、ティアフォー社</w:t>
                      </w:r>
                      <w:r>
                        <w:rPr>
                          <w:rFonts w:hint="default"/>
                        </w:rPr>
                        <w:t>製</w:t>
                      </w:r>
                      <w:r>
                        <w:rPr>
                          <w:rFonts w:hint="default"/>
                        </w:rPr>
                        <w:t xml:space="preserve"> Minibus 1.0</w:t>
                      </w:r>
                      <w:r>
                        <w:rPr>
                          <w:rFonts w:hint="default"/>
                        </w:rPr>
                        <w:t>（</w:t>
                      </w:r>
                      <w:r>
                        <w:rPr>
                          <w:rFonts w:hint="default"/>
                        </w:rPr>
                        <w:t>1</w:t>
                      </w:r>
                      <w:r>
                        <w:rPr>
                          <w:rFonts w:hint="default"/>
                        </w:rPr>
                        <w:t>台、リース）</w:t>
                      </w:r>
                      <w:r>
                        <w:rPr>
                          <w:rFonts w:hint="eastAsia"/>
                        </w:rPr>
                        <w:t>を使用した。</w:t>
                      </w:r>
                    </w:p>
                  </w:txbxContent>
                </v:textbox>
                <v:imagedata o:title=""/>
                <w10:wrap type="square" side="both" anchorx="text" anchory="text"/>
              </v:shape>
            </w:pict>
          </mc:Fallback>
        </mc:AlternateContent>
      </w:r>
      <w:r>
        <w:rPr>
          <w:rFonts w:hint="eastAsia"/>
          <w:b w:val="1"/>
          <w:spacing w:val="-4"/>
          <w:sz w:val="26"/>
        </w:rPr>
        <w:t>【事業内容】</w:t>
      </w:r>
      <w:commentRangeEnd w:id="2"/>
      <w:r>
        <w:rPr>
          <w:rFonts w:hint="eastAsia"/>
          <w:b w:val="1"/>
          <w:spacing w:val="-4"/>
          <w:sz w:val="26"/>
        </w:rPr>
        <w:commentReference w:id="2"/>
      </w:r>
    </w:p>
    <w:p>
      <w:pPr>
        <w:pStyle w:val="0"/>
        <w:ind w:left="0" w:leftChars="0" w:firstLine="0" w:firstLineChars="0"/>
        <w:rPr>
          <w:rFonts w:hint="default"/>
          <w:b w:val="1"/>
          <w:spacing w:val="-4"/>
          <w:sz w:val="6"/>
        </w:rPr>
      </w:pPr>
    </w:p>
    <w:p>
      <w:pPr>
        <w:pStyle w:val="0"/>
        <w:ind w:left="0" w:leftChars="0" w:firstLine="0" w:firstLineChars="0"/>
        <w:rPr>
          <w:rFonts w:hint="default"/>
          <w:spacing w:val="-4"/>
        </w:rPr>
        <w:sectPr>
          <w:footerReference r:id="rId6" w:type="default"/>
          <w:type w:val="continuous"/>
          <w:pgSz w:w="11910" w:h="16840"/>
          <w:pgMar w:top="851" w:right="851" w:bottom="567" w:left="851" w:header="720" w:footer="720" w:gutter="0"/>
          <w:cols w:space="720"/>
          <w:textDirection w:val="lrTb"/>
          <w:docGrid w:linePitch="299"/>
        </w:sectPr>
      </w:pPr>
      <w:r>
        <w:rPr>
          <w:rFonts w:hint="default"/>
          <w:spacing w:val="-4"/>
        </w:rPr>
        <mc:AlternateContent>
          <mc:Choice Requires="wps">
            <w:drawing>
              <wp:anchor distT="45720" distB="45720" distL="114300" distR="114300" simplePos="0" relativeHeight="8" behindDoc="0" locked="0" layoutInCell="1" hidden="0" allowOverlap="1">
                <wp:simplePos x="0" y="0"/>
                <wp:positionH relativeFrom="margin">
                  <wp:align>right</wp:align>
                </wp:positionH>
                <wp:positionV relativeFrom="paragraph">
                  <wp:posOffset>276860</wp:posOffset>
                </wp:positionV>
                <wp:extent cx="6386195" cy="4794250"/>
                <wp:effectExtent l="635" t="635" r="29845" b="10795"/>
                <wp:wrapSquare wrapText="bothSides"/>
                <wp:docPr id="1029" name="テキスト ボックス 4"/>
                <a:graphic xmlns:a="http://schemas.openxmlformats.org/drawingml/2006/main">
                  <a:graphicData uri="http://schemas.microsoft.com/office/word/2010/wordprocessingShape">
                    <wps:wsp>
                      <wps:cNvPr id="1029" name="テキスト ボックス 4"/>
                      <wps:cNvSpPr txBox="1">
                        <a:spLocks noChangeArrowheads="1"/>
                      </wps:cNvSpPr>
                      <wps:spPr>
                        <a:xfrm>
                          <a:off x="0" y="0"/>
                          <a:ext cx="6386195" cy="4794250"/>
                        </a:xfrm>
                        <a:prstGeom prst="rect">
                          <a:avLst/>
                        </a:prstGeom>
                        <a:solidFill>
                          <a:srgbClr val="FFFFFF"/>
                        </a:solidFill>
                        <a:ln w="9525">
                          <a:solidFill>
                            <a:srgbClr val="000000"/>
                          </a:solidFill>
                          <a:miter lim="800000"/>
                          <a:headEnd/>
                          <a:tailEnd/>
                        </a:ln>
                      </wps:spPr>
                      <wps:txbx>
                        <w:txbxContent>
                          <w:p>
                            <w:pPr>
                              <w:pStyle w:val="0"/>
                              <w:ind w:left="0" w:leftChars="0" w:firstLine="0" w:firstLineChars="0"/>
                              <w:rPr>
                                <w:rFonts w:hint="default"/>
                              </w:rPr>
                            </w:pPr>
                          </w:p>
                          <w:tbl>
                            <w:tblPr>
                              <w:tblStyle w:val="61"/>
                              <w:tblW w:w="9760" w:type="dxa"/>
                              <w:tblInd w:w="0" w:type="dxa"/>
                              <w:tblLayout w:type="fixed"/>
                              <w:tblCellMar>
                                <w:top w:w="73" w:type="dxa"/>
                                <w:left w:w="107" w:type="dxa"/>
                                <w:right w:w="115" w:type="dxa"/>
                              </w:tblCellMar>
                              <w:tblLook w:firstRow="1" w:lastRow="0" w:firstColumn="1" w:lastColumn="0" w:noHBand="0" w:noVBand="1" w:val="04A0"/>
                            </w:tblPr>
                            <w:tblGrid>
                              <w:gridCol w:w="704"/>
                              <w:gridCol w:w="3402"/>
                              <w:gridCol w:w="5654"/>
                            </w:tblGrid>
                            <w:tr>
                              <w:trPr>
                                <w:trHeight w:val="368" w:hRule="atLeast"/>
                              </w:trPr>
                              <w:tc>
                                <w:tcPr>
                                  <w:tcW w:w="704" w:type="dxa"/>
                                  <w:tcBorders>
                                    <w:top w:val="single" w:color="000000" w:sz="4" w:space="0"/>
                                    <w:left w:val="single" w:color="000000" w:sz="4" w:space="0"/>
                                    <w:bottom w:val="single" w:color="auto" w:sz="4" w:space="0"/>
                                    <w:right w:val="single" w:color="000000" w:sz="4" w:space="0"/>
                                    <w:tl2br w:val="none" w:color="auto" w:sz="0" w:space="0"/>
                                    <w:tr2bl w:val="none" w:color="auto" w:sz="0" w:space="0"/>
                                  </w:tcBorders>
                                  <w:shd w:val="clear" w:color="auto" w:themeFill="accent5" w:themeFillTint="66" w:themeFillShade="FF"/>
                                  <w:vAlign w:val="top"/>
                                </w:tcPr>
                                <w:p>
                                  <w:pPr>
                                    <w:pStyle w:val="0"/>
                                    <w:spacing w:line="259" w:lineRule="auto"/>
                                    <w:ind w:left="0" w:leftChars="0" w:firstLine="0" w:firstLineChars="0"/>
                                    <w:jc w:val="center"/>
                                    <w:rPr>
                                      <w:rFonts w:hint="default"/>
                                    </w:rPr>
                                  </w:pPr>
                                  <w:r>
                                    <w:rPr>
                                      <w:rFonts w:hint="eastAsia"/>
                                    </w:rPr>
                                    <w:t>項目</w:t>
                                  </w:r>
                                </w:p>
                              </w:tc>
                              <w:tc>
                                <w:tcPr>
                                  <w:tcW w:w="340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shd w:val="clear" w:color="auto" w:themeFill="accent5" w:themeFillTint="66" w:themeFillShade="FF"/>
                                  <w:vAlign w:val="top"/>
                                </w:tcPr>
                                <w:p>
                                  <w:pPr>
                                    <w:pStyle w:val="0"/>
                                    <w:spacing w:line="259" w:lineRule="auto"/>
                                    <w:ind w:left="0" w:leftChars="0" w:firstLine="0" w:firstLineChars="0"/>
                                    <w:jc w:val="center"/>
                                    <w:rPr>
                                      <w:rFonts w:hint="default"/>
                                    </w:rPr>
                                  </w:pPr>
                                  <w:r>
                                    <w:rPr>
                                      <w:rFonts w:hint="eastAsia"/>
                                    </w:rPr>
                                    <w:t>検証項目</w:t>
                                  </w:r>
                                </w:p>
                              </w:tc>
                              <w:tc>
                                <w:tcPr>
                                  <w:tcW w:w="5654"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shd w:val="clear" w:color="auto" w:themeFill="accent5" w:themeFillTint="66" w:themeFillShade="FF"/>
                                  <w:vAlign w:val="top"/>
                                </w:tcPr>
                                <w:p>
                                  <w:pPr>
                                    <w:pStyle w:val="0"/>
                                    <w:spacing w:line="259" w:lineRule="auto"/>
                                    <w:ind w:left="0" w:leftChars="0" w:firstLine="0" w:firstLineChars="0"/>
                                    <w:jc w:val="center"/>
                                    <w:rPr>
                                      <w:rFonts w:hint="default"/>
                                    </w:rPr>
                                  </w:pPr>
                                  <w:r>
                                    <w:rPr>
                                      <w:rFonts w:hint="eastAsia"/>
                                    </w:rPr>
                                    <w:t>検証方法</w:t>
                                  </w:r>
                                </w:p>
                              </w:tc>
                            </w:tr>
                            <w:tr>
                              <w:trPr>
                                <w:cantSplit/>
                                <w:trHeight w:val="397" w:hRule="atLeast"/>
                              </w:trPr>
                              <w:tc>
                                <w:tcPr>
                                  <w:tcW w:w="704" w:type="dxa"/>
                                  <w:vMerge w:val="restart"/>
                                  <w:tcBorders>
                                    <w:top w:val="single" w:color="auto" w:sz="4" w:space="0"/>
                                    <w:left w:val="single" w:color="auto" w:sz="4" w:space="0"/>
                                    <w:bottom w:val="single" w:color="auto" w:sz="4" w:space="0"/>
                                    <w:right w:val="single" w:color="auto" w:sz="4" w:space="0"/>
                                    <w:tl2br w:val="none" w:color="auto" w:sz="0" w:space="0"/>
                                    <w:tr2bl w:val="none" w:color="auto" w:sz="0" w:space="0"/>
                                  </w:tcBorders>
                                  <w:textDirection w:val="tbRlV"/>
                                  <w:vAlign w:val="center"/>
                                </w:tcPr>
                                <w:p>
                                  <w:pPr>
                                    <w:pStyle w:val="0"/>
                                    <w:spacing w:line="259" w:lineRule="auto"/>
                                    <w:ind w:left="113" w:leftChars="0" w:right="113" w:firstLine="0" w:firstLineChars="0"/>
                                    <w:jc w:val="center"/>
                                    <w:rPr>
                                      <w:rFonts w:hint="default"/>
                                    </w:rPr>
                                  </w:pPr>
                                  <w:r>
                                    <w:rPr>
                                      <w:rFonts w:hint="eastAsia"/>
                                    </w:rPr>
                                    <w:t>経営面</w:t>
                                  </w:r>
                                </w:p>
                              </w:tc>
                              <w:tc>
                                <w:tcPr>
                                  <w:tcW w:w="3402" w:type="dxa"/>
                                  <w:tcBorders>
                                    <w:top w:val="single" w:color="000000" w:sz="4" w:space="0"/>
                                    <w:left w:val="single" w:color="auto"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r>
                                    <w:rPr>
                                      <w:rFonts w:hint="default"/>
                                    </w:rPr>
                                    <w:t>運賃収入の獲得可能性</w:t>
                                  </w:r>
                                </w:p>
                              </w:tc>
                              <w:tc>
                                <w:tcPr>
                                  <w:tcW w:w="5654"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eastAsia"/>
                                    </w:rPr>
                                  </w:pPr>
                                  <w:r>
                                    <w:rPr>
                                      <w:rFonts w:hint="default"/>
                                    </w:rPr>
                                    <w:t>既存バス運賃（</w:t>
                                  </w:r>
                                  <w:r>
                                    <w:rPr>
                                      <w:rFonts w:hint="default"/>
                                    </w:rPr>
                                    <w:t>200</w:t>
                                  </w:r>
                                  <w:r>
                                    <w:rPr>
                                      <w:rFonts w:hint="default"/>
                                    </w:rPr>
                                    <w:t>円）やアンケートに基づく</w:t>
                                  </w:r>
                                  <w:r>
                                    <w:rPr>
                                      <w:rFonts w:hint="eastAsia"/>
                                    </w:rPr>
                                    <w:t>支払意向の把握</w:t>
                                  </w:r>
                                </w:p>
                              </w:tc>
                            </w:tr>
                            <w:tr>
                              <w:trPr>
                                <w:cantSplit/>
                                <w:trHeight w:val="397" w:hRule="atLeast"/>
                              </w:trPr>
                              <w:tc>
                                <w:tcPr>
                                  <w:tcW w:w="704" w:type="dxa"/>
                                  <w:vMerge w:val="continue"/>
                                  <w:tcBorders>
                                    <w:top w:val="single" w:color="auto" w:sz="4" w:space="0"/>
                                    <w:left w:val="single" w:color="auto" w:sz="4" w:space="0"/>
                                    <w:bottom w:val="single" w:color="auto" w:sz="4" w:space="0"/>
                                    <w:right w:val="single" w:color="auto" w:sz="4" w:space="0"/>
                                    <w:tl2br w:val="none" w:color="auto" w:sz="0" w:space="0"/>
                                    <w:tr2bl w:val="none" w:color="auto" w:sz="0" w:space="0"/>
                                  </w:tcBorders>
                                  <w:textDirection w:val="tbRlV"/>
                                  <w:vAlign w:val="center"/>
                                </w:tcPr>
                                <w:p>
                                  <w:pPr>
                                    <w:pStyle w:val="0"/>
                                    <w:spacing w:line="259" w:lineRule="auto"/>
                                    <w:ind w:left="113" w:leftChars="0" w:right="113" w:firstLine="0" w:firstLineChars="0"/>
                                    <w:jc w:val="center"/>
                                    <w:rPr>
                                      <w:rFonts w:hint="default"/>
                                    </w:rPr>
                                  </w:pPr>
                                </w:p>
                              </w:tc>
                              <w:tc>
                                <w:tcPr>
                                  <w:tcW w:w="3402" w:type="dxa"/>
                                  <w:tcBorders>
                                    <w:top w:val="single" w:color="000000" w:sz="4" w:space="0"/>
                                    <w:left w:val="single" w:color="auto"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r>
                                    <w:rPr>
                                      <w:rFonts w:hint="default"/>
                                    </w:rPr>
                                    <w:t>事業費・維持費の削減可能性</w:t>
                                  </w:r>
                                </w:p>
                              </w:tc>
                              <w:tc>
                                <w:tcPr>
                                  <w:tcW w:w="5654"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r>
                                    <w:rPr>
                                      <w:rFonts w:hint="default"/>
                                    </w:rPr>
                                    <w:t>実装時の体制（地元バス業者委託等）</w:t>
                                  </w:r>
                                  <w:r>
                                    <w:rPr>
                                      <w:rFonts w:hint="eastAsia"/>
                                    </w:rPr>
                                    <w:t>や車両費等の</w:t>
                                  </w:r>
                                  <w:r>
                                    <w:rPr>
                                      <w:rFonts w:hint="default"/>
                                    </w:rPr>
                                    <w:t>検討</w:t>
                                  </w:r>
                                  <w:r>
                                    <w:rPr>
                                      <w:rFonts w:hint="default"/>
                                    </w:rPr>
                                    <w:t> </w:t>
                                  </w:r>
                                </w:p>
                              </w:tc>
                            </w:tr>
                            <w:tr>
                              <w:trPr>
                                <w:cantSplit/>
                                <w:trHeight w:val="1068" w:hRule="atLeast"/>
                              </w:trPr>
                              <w:tc>
                                <w:tcPr>
                                  <w:tcW w:w="704" w:type="dxa"/>
                                  <w:vMerge w:val="restart"/>
                                  <w:tcBorders>
                                    <w:top w:val="single" w:color="auto" w:sz="4" w:space="0"/>
                                    <w:left w:val="single" w:color="auto" w:sz="4" w:space="0"/>
                                    <w:bottom w:val="none" w:color="auto" w:sz="0" w:space="0"/>
                                    <w:right w:val="single" w:color="auto" w:sz="4" w:space="0"/>
                                    <w:tl2br w:val="none" w:color="auto" w:sz="0" w:space="0"/>
                                    <w:tr2bl w:val="none" w:color="auto" w:sz="0" w:space="0"/>
                                  </w:tcBorders>
                                  <w:textDirection w:val="tbRlV"/>
                                  <w:vAlign w:val="center"/>
                                </w:tcPr>
                                <w:p>
                                  <w:pPr>
                                    <w:pStyle w:val="0"/>
                                    <w:spacing w:line="259" w:lineRule="auto"/>
                                    <w:ind w:left="113" w:leftChars="0" w:right="113" w:firstLine="0" w:firstLineChars="0"/>
                                    <w:jc w:val="center"/>
                                    <w:rPr>
                                      <w:rFonts w:hint="default"/>
                                    </w:rPr>
                                  </w:pPr>
                                  <w:r>
                                    <w:rPr>
                                      <w:rFonts w:hint="eastAsia"/>
                                    </w:rPr>
                                    <w:t>技術面</w:t>
                                  </w:r>
                                </w:p>
                              </w:tc>
                              <w:tc>
                                <w:tcPr>
                                  <w:tcW w:w="3402" w:type="dxa"/>
                                  <w:tcBorders>
                                    <w:top w:val="single" w:color="000000" w:sz="4" w:space="0"/>
                                    <w:left w:val="single" w:color="auto"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r>
                                    <w:rPr>
                                      <w:rFonts w:hint="default"/>
                                    </w:rPr>
                                    <w:t>自動運転走行割合</w:t>
                                  </w:r>
                                </w:p>
                              </w:tc>
                              <w:tc>
                                <w:tcPr>
                                  <w:tcW w:w="5654"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eastAsia"/>
                                    </w:rPr>
                                  </w:pPr>
                                  <w:r>
                                    <w:rPr>
                                      <w:rFonts w:hint="default"/>
                                    </w:rPr>
                                    <w:t>車両制御ログデータより実績を確認</w:t>
                                  </w:r>
                                </w:p>
                              </w:tc>
                            </w:tr>
                            <w:tr>
                              <w:trPr>
                                <w:cantSplit/>
                                <w:trHeight w:val="362" w:hRule="atLeast"/>
                              </w:trPr>
                              <w:tc>
                                <w:tcPr>
                                  <w:tcW w:w="704" w:type="dxa"/>
                                  <w:vMerge w:val="continue"/>
                                  <w:tcBorders>
                                    <w:top w:val="none" w:color="auto" w:sz="0" w:space="0"/>
                                    <w:left w:val="single" w:color="auto" w:sz="4" w:space="0"/>
                                    <w:bottom w:val="none" w:color="auto" w:sz="0" w:space="0"/>
                                    <w:right w:val="single" w:color="auto" w:sz="4" w:space="0"/>
                                    <w:tl2br w:val="none" w:color="auto" w:sz="0" w:space="0"/>
                                    <w:tr2bl w:val="none" w:color="auto" w:sz="0" w:space="0"/>
                                  </w:tcBorders>
                                  <w:textDirection w:val="tbRlV"/>
                                  <w:vAlign w:val="center"/>
                                </w:tcPr>
                                <w:p>
                                  <w:pPr>
                                    <w:pStyle w:val="0"/>
                                    <w:spacing w:line="259" w:lineRule="auto"/>
                                    <w:ind w:left="113" w:leftChars="0" w:right="113" w:firstLine="0" w:firstLineChars="0"/>
                                    <w:jc w:val="center"/>
                                    <w:rPr>
                                      <w:rFonts w:hint="default"/>
                                    </w:rPr>
                                  </w:pPr>
                                </w:p>
                              </w:tc>
                              <w:tc>
                                <w:tcPr>
                                  <w:tcW w:w="3402" w:type="dxa"/>
                                  <w:tcBorders>
                                    <w:top w:val="single" w:color="000000" w:sz="4" w:space="0"/>
                                    <w:left w:val="single" w:color="auto"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r>
                                    <w:rPr>
                                      <w:rFonts w:hint="default"/>
                                    </w:rPr>
                                    <w:t>手動介入回数・要因</w:t>
                                  </w:r>
                                </w:p>
                              </w:tc>
                              <w:tc>
                                <w:tcPr>
                                  <w:tcW w:w="5654"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r>
                                    <w:rPr>
                                      <w:rFonts w:hint="default"/>
                                    </w:rPr>
                                    <w:t>介入発生数、箇所、要因を集計・分析</w:t>
                                  </w:r>
                                </w:p>
                              </w:tc>
                            </w:tr>
                            <w:tr>
                              <w:trPr>
                                <w:cantSplit/>
                                <w:trHeight w:val="397" w:hRule="atLeast"/>
                              </w:trPr>
                              <w:tc>
                                <w:tcPr>
                                  <w:tcW w:w="704" w:type="dxa"/>
                                  <w:vMerge w:val="continue"/>
                                  <w:tcBorders>
                                    <w:top w:val="none" w:color="auto" w:sz="0" w:space="0"/>
                                    <w:left w:val="single" w:color="auto" w:sz="4" w:space="0"/>
                                    <w:bottom w:val="none" w:color="auto" w:sz="0" w:space="0"/>
                                    <w:right w:val="single" w:color="auto" w:sz="4" w:space="0"/>
                                    <w:tl2br w:val="none" w:color="auto" w:sz="0" w:space="0"/>
                                    <w:tr2bl w:val="none" w:color="auto" w:sz="0" w:space="0"/>
                                  </w:tcBorders>
                                  <w:textDirection w:val="tbRlV"/>
                                  <w:vAlign w:val="center"/>
                                </w:tcPr>
                                <w:p>
                                  <w:pPr>
                                    <w:pStyle w:val="0"/>
                                    <w:spacing w:line="259" w:lineRule="auto"/>
                                    <w:ind w:left="113" w:leftChars="0" w:right="113" w:firstLine="0" w:firstLineChars="0"/>
                                    <w:jc w:val="center"/>
                                    <w:rPr>
                                      <w:rFonts w:hint="default"/>
                                    </w:rPr>
                                  </w:pPr>
                                </w:p>
                              </w:tc>
                              <w:tc>
                                <w:tcPr>
                                  <w:tcW w:w="3402" w:type="dxa"/>
                                  <w:tcBorders>
                                    <w:top w:val="single" w:color="000000" w:sz="4" w:space="0"/>
                                    <w:left w:val="single" w:color="auto"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r>
                                    <w:rPr>
                                      <w:rFonts w:hint="default"/>
                                    </w:rPr>
                                    <w:t>ダイヤ正確性</w:t>
                                  </w:r>
                                </w:p>
                              </w:tc>
                              <w:tc>
                                <w:tcPr>
                                  <w:tcW w:w="5654"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r>
                                    <w:rPr>
                                      <w:rFonts w:hint="default"/>
                                    </w:rPr>
                                    <w:t>遅延</w:t>
                                  </w:r>
                                  <w:r>
                                    <w:rPr>
                                      <w:rFonts w:hint="default"/>
                                    </w:rPr>
                                    <w:t>5</w:t>
                                  </w:r>
                                  <w:r>
                                    <w:rPr>
                                      <w:rFonts w:hint="default"/>
                                    </w:rPr>
                                    <w:t>分以内を定時到着とし率を集計</w:t>
                                  </w:r>
                                </w:p>
                              </w:tc>
                            </w:tr>
                            <w:tr>
                              <w:trPr>
                                <w:cantSplit/>
                                <w:trHeight w:val="850" w:hRule="atLeast"/>
                              </w:trPr>
                              <w:tc>
                                <w:tcPr>
                                  <w:tcW w:w="704" w:type="dxa"/>
                                  <w:vMerge w:val="restart"/>
                                  <w:tcBorders>
                                    <w:top w:val="single" w:color="auto" w:sz="4" w:space="0"/>
                                    <w:left w:val="single" w:color="auto" w:sz="4" w:space="0"/>
                                    <w:bottom w:val="single" w:color="auto" w:sz="4" w:space="0"/>
                                    <w:right w:val="single" w:color="auto" w:sz="4" w:space="0"/>
                                    <w:tl2br w:val="none" w:color="auto" w:sz="0" w:space="0"/>
                                    <w:tr2bl w:val="none" w:color="auto" w:sz="0" w:space="0"/>
                                  </w:tcBorders>
                                  <w:textDirection w:val="tbRlV"/>
                                  <w:vAlign w:val="center"/>
                                </w:tcPr>
                                <w:p>
                                  <w:pPr>
                                    <w:pStyle w:val="0"/>
                                    <w:spacing w:line="259" w:lineRule="auto"/>
                                    <w:ind w:left="113" w:leftChars="0" w:right="113" w:firstLine="0" w:firstLineChars="0"/>
                                    <w:jc w:val="center"/>
                                    <w:rPr>
                                      <w:rFonts w:hint="default"/>
                                    </w:rPr>
                                  </w:pPr>
                                  <w:r>
                                    <w:rPr>
                                      <w:rFonts w:hint="eastAsia"/>
                                    </w:rPr>
                                    <w:t>社会受容性面</w:t>
                                  </w:r>
                                </w:p>
                              </w:tc>
                              <w:tc>
                                <w:tcPr>
                                  <w:tcW w:w="3402" w:type="dxa"/>
                                  <w:tcBorders>
                                    <w:top w:val="single" w:color="000000" w:sz="4" w:space="0"/>
                                    <w:left w:val="single" w:color="auto"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r>
                                    <w:rPr>
                                      <w:rFonts w:hint="default"/>
                                    </w:rPr>
                                    <w:t>利用意向・安心感</w:t>
                                  </w:r>
                                  <w:r>
                                    <w:rPr>
                                      <w:rFonts w:hint="default"/>
                                    </w:rPr>
                                    <w:t> </w:t>
                                  </w:r>
                                </w:p>
                              </w:tc>
                              <w:tc>
                                <w:tcPr>
                                  <w:tcW w:w="5654"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r>
                                    <w:rPr>
                                      <w:rFonts w:hint="default"/>
                                    </w:rPr>
                                    <w:t>試乗会参加者および地域住民へのアンケート調査</w:t>
                                  </w:r>
                                </w:p>
                                <w:p>
                                  <w:pPr>
                                    <w:pStyle w:val="0"/>
                                    <w:spacing w:line="259" w:lineRule="auto"/>
                                    <w:ind w:left="0" w:leftChars="0" w:firstLine="0" w:firstLineChars="0"/>
                                    <w:rPr>
                                      <w:rFonts w:hint="default"/>
                                    </w:rPr>
                                  </w:pPr>
                                  <w:r>
                                    <w:rPr>
                                      <w:rFonts w:hint="default"/>
                                    </w:rPr>
                                    <w:t>（</w:t>
                                  </w:r>
                                  <w:r>
                                    <w:rPr>
                                      <w:rFonts w:hint="default"/>
                                    </w:rPr>
                                    <w:t>LINE</w:t>
                                  </w:r>
                                  <w:r>
                                    <w:rPr>
                                      <w:rFonts w:hint="default"/>
                                    </w:rPr>
                                    <w:t>活用）</w:t>
                                  </w:r>
                                </w:p>
                              </w:tc>
                            </w:tr>
                            <w:tr>
                              <w:trPr>
                                <w:cantSplit/>
                                <w:trHeight w:val="850" w:hRule="atLeast"/>
                              </w:trPr>
                              <w:tc>
                                <w:tcPr>
                                  <w:tcW w:w="704" w:type="dxa"/>
                                  <w:vMerge w:val="continue"/>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spacing w:line="259" w:lineRule="auto"/>
                                    <w:ind w:left="0" w:leftChars="0" w:firstLine="0" w:firstLineChars="0"/>
                                    <w:rPr>
                                      <w:rFonts w:hint="default"/>
                                    </w:rPr>
                                  </w:pPr>
                                </w:p>
                              </w:tc>
                              <w:tc>
                                <w:tcPr>
                                  <w:tcW w:w="3402" w:type="dxa"/>
                                  <w:tcBorders>
                                    <w:top w:val="single" w:color="000000" w:sz="4" w:space="0"/>
                                    <w:left w:val="single" w:color="auto"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r>
                                    <w:rPr>
                                      <w:rFonts w:hint="default"/>
                                    </w:rPr>
                                    <w:t>認知度・期待度</w:t>
                                  </w:r>
                                </w:p>
                              </w:tc>
                              <w:tc>
                                <w:tcPr>
                                  <w:tcW w:w="5654"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r>
                                    <w:rPr>
                                      <w:rFonts w:hint="default"/>
                                    </w:rPr>
                                    <w:t>アンケートおよび広報活動（市報、チラシ、</w:t>
                                  </w:r>
                                  <w:r>
                                    <w:rPr>
                                      <w:rFonts w:hint="default"/>
                                    </w:rPr>
                                    <w:t>SNS</w:t>
                                  </w:r>
                                  <w:r>
                                    <w:rPr>
                                      <w:rFonts w:hint="default"/>
                                    </w:rPr>
                                    <w:t>）の効果</w:t>
                                  </w:r>
                                  <w:r>
                                    <w:rPr>
                                      <w:rFonts w:hint="eastAsia"/>
                                    </w:rPr>
                                    <w:t>の確認</w:t>
                                  </w:r>
                                  <w:r>
                                    <w:rPr>
                                      <w:rFonts w:hint="default"/>
                                    </w:rPr>
                                    <w:t> </w:t>
                                  </w:r>
                                </w:p>
                              </w:tc>
                            </w:tr>
                          </w:tbl>
                          <w:p>
                            <w:pPr>
                              <w:pStyle w:val="0"/>
                              <w:ind w:left="0" w:leftChars="0" w:firstLine="0" w:firstLineChars="0"/>
                              <w:rPr>
                                <w:rFonts w:hint="default"/>
                              </w:rPr>
                            </w:pPr>
                          </w:p>
                        </w:txbxContent>
                      </wps:txbx>
                      <wps:bodyPr rot="0" vertOverflow="overflow" horzOverflow="overflow" wrap="square" anchor="t" anchorCtr="0"/>
                    </wps:wsp>
                  </a:graphicData>
                </a:graphic>
              </wp:anchor>
            </w:drawing>
          </mc:Choice>
          <mc:Fallback>
            <w:pict>
              <v:shapetype id="_x0000_t202" coordsize="21600,21600" o:spt="202" path="m,l,21600r21600,l21600,xe">
                <v:stroke joinstyle="miter"/>
                <v:path gradientshapeok="t" o:connecttype="rect"/>
              </v:shapetype>
              <v:shape id="テキスト ボックス 4" style="mso-wrap-distance-right:9pt;mso-wrap-distance-bottom:3.6pt;margin-top:21.8pt;mso-position-vertical-relative:text;mso-position-horizontal:right;mso-position-horizontal-relative:margin;v-text-anchor:top;position:absolute;mso-wrap-mode:square;height:377.5pt;mso-wrap-distance-top:3.6pt;width:502.85pt;mso-wrap-distance-left:9pt;z-index:8;" o:spid="_x0000_s1029" o:allowincell="t" o:allowoverlap="t" filled="t" fillcolor="#ffffff" stroked="t" strokecolor="#000000" strokeweight="0.75pt" o:spt="202" type="#_x0000_t202">
                <v:fill/>
                <v:stroke miterlimit="8" filltype="solid"/>
                <v:textbox style="layout-flow:horizontal;">
                  <w:txbxContent>
                    <w:p>
                      <w:pPr>
                        <w:pStyle w:val="0"/>
                        <w:ind w:left="0" w:leftChars="0" w:firstLine="0" w:firstLineChars="0"/>
                        <w:rPr>
                          <w:rFonts w:hint="default"/>
                        </w:rPr>
                      </w:pPr>
                    </w:p>
                    <w:tbl>
                      <w:tblPr>
                        <w:tblStyle w:val="61"/>
                        <w:tblW w:w="9760" w:type="dxa"/>
                        <w:tblInd w:w="0" w:type="dxa"/>
                        <w:tblLayout w:type="fixed"/>
                        <w:tblCellMar>
                          <w:top w:w="73" w:type="dxa"/>
                          <w:left w:w="107" w:type="dxa"/>
                          <w:right w:w="115" w:type="dxa"/>
                        </w:tblCellMar>
                        <w:tblLook w:firstRow="1" w:lastRow="0" w:firstColumn="1" w:lastColumn="0" w:noHBand="0" w:noVBand="1" w:val="04A0"/>
                      </w:tblPr>
                      <w:tblGrid>
                        <w:gridCol w:w="704"/>
                        <w:gridCol w:w="3402"/>
                        <w:gridCol w:w="5654"/>
                      </w:tblGrid>
                      <w:tr>
                        <w:trPr>
                          <w:trHeight w:val="368" w:hRule="atLeast"/>
                        </w:trPr>
                        <w:tc>
                          <w:tcPr>
                            <w:tcW w:w="704" w:type="dxa"/>
                            <w:tcBorders>
                              <w:top w:val="single" w:color="000000" w:sz="4" w:space="0"/>
                              <w:left w:val="single" w:color="000000" w:sz="4" w:space="0"/>
                              <w:bottom w:val="single" w:color="auto" w:sz="4" w:space="0"/>
                              <w:right w:val="single" w:color="000000" w:sz="4" w:space="0"/>
                              <w:tl2br w:val="none" w:color="auto" w:sz="0" w:space="0"/>
                              <w:tr2bl w:val="none" w:color="auto" w:sz="0" w:space="0"/>
                            </w:tcBorders>
                            <w:shd w:val="clear" w:color="auto" w:themeFill="accent5" w:themeFillTint="66" w:themeFillShade="FF"/>
                            <w:vAlign w:val="top"/>
                          </w:tcPr>
                          <w:p>
                            <w:pPr>
                              <w:pStyle w:val="0"/>
                              <w:spacing w:line="259" w:lineRule="auto"/>
                              <w:ind w:left="0" w:leftChars="0" w:firstLine="0" w:firstLineChars="0"/>
                              <w:jc w:val="center"/>
                              <w:rPr>
                                <w:rFonts w:hint="default"/>
                              </w:rPr>
                            </w:pPr>
                            <w:r>
                              <w:rPr>
                                <w:rFonts w:hint="eastAsia"/>
                              </w:rPr>
                              <w:t>項目</w:t>
                            </w:r>
                          </w:p>
                        </w:tc>
                        <w:tc>
                          <w:tcPr>
                            <w:tcW w:w="340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shd w:val="clear" w:color="auto" w:themeFill="accent5" w:themeFillTint="66" w:themeFillShade="FF"/>
                            <w:vAlign w:val="top"/>
                          </w:tcPr>
                          <w:p>
                            <w:pPr>
                              <w:pStyle w:val="0"/>
                              <w:spacing w:line="259" w:lineRule="auto"/>
                              <w:ind w:left="0" w:leftChars="0" w:firstLine="0" w:firstLineChars="0"/>
                              <w:jc w:val="center"/>
                              <w:rPr>
                                <w:rFonts w:hint="default"/>
                              </w:rPr>
                            </w:pPr>
                            <w:r>
                              <w:rPr>
                                <w:rFonts w:hint="eastAsia"/>
                              </w:rPr>
                              <w:t>検証項目</w:t>
                            </w:r>
                          </w:p>
                        </w:tc>
                        <w:tc>
                          <w:tcPr>
                            <w:tcW w:w="5654"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shd w:val="clear" w:color="auto" w:themeFill="accent5" w:themeFillTint="66" w:themeFillShade="FF"/>
                            <w:vAlign w:val="top"/>
                          </w:tcPr>
                          <w:p>
                            <w:pPr>
                              <w:pStyle w:val="0"/>
                              <w:spacing w:line="259" w:lineRule="auto"/>
                              <w:ind w:left="0" w:leftChars="0" w:firstLine="0" w:firstLineChars="0"/>
                              <w:jc w:val="center"/>
                              <w:rPr>
                                <w:rFonts w:hint="default"/>
                              </w:rPr>
                            </w:pPr>
                            <w:r>
                              <w:rPr>
                                <w:rFonts w:hint="eastAsia"/>
                              </w:rPr>
                              <w:t>検証方法</w:t>
                            </w:r>
                          </w:p>
                        </w:tc>
                      </w:tr>
                      <w:tr>
                        <w:trPr>
                          <w:cantSplit/>
                          <w:trHeight w:val="397" w:hRule="atLeast"/>
                        </w:trPr>
                        <w:tc>
                          <w:tcPr>
                            <w:tcW w:w="704" w:type="dxa"/>
                            <w:vMerge w:val="restart"/>
                            <w:tcBorders>
                              <w:top w:val="single" w:color="auto" w:sz="4" w:space="0"/>
                              <w:left w:val="single" w:color="auto" w:sz="4" w:space="0"/>
                              <w:bottom w:val="single" w:color="auto" w:sz="4" w:space="0"/>
                              <w:right w:val="single" w:color="auto" w:sz="4" w:space="0"/>
                              <w:tl2br w:val="none" w:color="auto" w:sz="0" w:space="0"/>
                              <w:tr2bl w:val="none" w:color="auto" w:sz="0" w:space="0"/>
                            </w:tcBorders>
                            <w:textDirection w:val="tbRlV"/>
                            <w:vAlign w:val="center"/>
                          </w:tcPr>
                          <w:p>
                            <w:pPr>
                              <w:pStyle w:val="0"/>
                              <w:spacing w:line="259" w:lineRule="auto"/>
                              <w:ind w:left="113" w:leftChars="0" w:right="113" w:firstLine="0" w:firstLineChars="0"/>
                              <w:jc w:val="center"/>
                              <w:rPr>
                                <w:rFonts w:hint="default"/>
                              </w:rPr>
                            </w:pPr>
                            <w:r>
                              <w:rPr>
                                <w:rFonts w:hint="eastAsia"/>
                              </w:rPr>
                              <w:t>経営面</w:t>
                            </w:r>
                          </w:p>
                        </w:tc>
                        <w:tc>
                          <w:tcPr>
                            <w:tcW w:w="3402" w:type="dxa"/>
                            <w:tcBorders>
                              <w:top w:val="single" w:color="000000" w:sz="4" w:space="0"/>
                              <w:left w:val="single" w:color="auto"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r>
                              <w:rPr>
                                <w:rFonts w:hint="default"/>
                              </w:rPr>
                              <w:t>運賃収入の獲得可能性</w:t>
                            </w:r>
                          </w:p>
                        </w:tc>
                        <w:tc>
                          <w:tcPr>
                            <w:tcW w:w="5654"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eastAsia"/>
                              </w:rPr>
                            </w:pPr>
                            <w:r>
                              <w:rPr>
                                <w:rFonts w:hint="default"/>
                              </w:rPr>
                              <w:t>既存バス運賃（</w:t>
                            </w:r>
                            <w:r>
                              <w:rPr>
                                <w:rFonts w:hint="default"/>
                              </w:rPr>
                              <w:t>200</w:t>
                            </w:r>
                            <w:r>
                              <w:rPr>
                                <w:rFonts w:hint="default"/>
                              </w:rPr>
                              <w:t>円）やアンケートに基づく</w:t>
                            </w:r>
                            <w:r>
                              <w:rPr>
                                <w:rFonts w:hint="eastAsia"/>
                              </w:rPr>
                              <w:t>支払意向の把握</w:t>
                            </w:r>
                          </w:p>
                        </w:tc>
                      </w:tr>
                      <w:tr>
                        <w:trPr>
                          <w:cantSplit/>
                          <w:trHeight w:val="397" w:hRule="atLeast"/>
                        </w:trPr>
                        <w:tc>
                          <w:tcPr>
                            <w:tcW w:w="704" w:type="dxa"/>
                            <w:vMerge w:val="continue"/>
                            <w:tcBorders>
                              <w:top w:val="single" w:color="auto" w:sz="4" w:space="0"/>
                              <w:left w:val="single" w:color="auto" w:sz="4" w:space="0"/>
                              <w:bottom w:val="single" w:color="auto" w:sz="4" w:space="0"/>
                              <w:right w:val="single" w:color="auto" w:sz="4" w:space="0"/>
                              <w:tl2br w:val="none" w:color="auto" w:sz="0" w:space="0"/>
                              <w:tr2bl w:val="none" w:color="auto" w:sz="0" w:space="0"/>
                            </w:tcBorders>
                            <w:textDirection w:val="tbRlV"/>
                            <w:vAlign w:val="center"/>
                          </w:tcPr>
                          <w:p>
                            <w:pPr>
                              <w:pStyle w:val="0"/>
                              <w:spacing w:line="259" w:lineRule="auto"/>
                              <w:ind w:left="113" w:leftChars="0" w:right="113" w:firstLine="0" w:firstLineChars="0"/>
                              <w:jc w:val="center"/>
                              <w:rPr>
                                <w:rFonts w:hint="default"/>
                              </w:rPr>
                            </w:pPr>
                          </w:p>
                        </w:tc>
                        <w:tc>
                          <w:tcPr>
                            <w:tcW w:w="3402" w:type="dxa"/>
                            <w:tcBorders>
                              <w:top w:val="single" w:color="000000" w:sz="4" w:space="0"/>
                              <w:left w:val="single" w:color="auto"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r>
                              <w:rPr>
                                <w:rFonts w:hint="default"/>
                              </w:rPr>
                              <w:t>事業費・維持費の削減可能性</w:t>
                            </w:r>
                          </w:p>
                        </w:tc>
                        <w:tc>
                          <w:tcPr>
                            <w:tcW w:w="5654"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r>
                              <w:rPr>
                                <w:rFonts w:hint="default"/>
                              </w:rPr>
                              <w:t>実装時の体制（地元バス業者委託等）</w:t>
                            </w:r>
                            <w:r>
                              <w:rPr>
                                <w:rFonts w:hint="eastAsia"/>
                              </w:rPr>
                              <w:t>や車両費等の</w:t>
                            </w:r>
                            <w:r>
                              <w:rPr>
                                <w:rFonts w:hint="default"/>
                              </w:rPr>
                              <w:t>検討</w:t>
                            </w:r>
                            <w:r>
                              <w:rPr>
                                <w:rFonts w:hint="default"/>
                              </w:rPr>
                              <w:t> </w:t>
                            </w:r>
                          </w:p>
                        </w:tc>
                      </w:tr>
                      <w:tr>
                        <w:trPr>
                          <w:cantSplit/>
                          <w:trHeight w:val="1068" w:hRule="atLeast"/>
                        </w:trPr>
                        <w:tc>
                          <w:tcPr>
                            <w:tcW w:w="704" w:type="dxa"/>
                            <w:vMerge w:val="restart"/>
                            <w:tcBorders>
                              <w:top w:val="single" w:color="auto" w:sz="4" w:space="0"/>
                              <w:left w:val="single" w:color="auto" w:sz="4" w:space="0"/>
                              <w:bottom w:val="none" w:color="auto" w:sz="0" w:space="0"/>
                              <w:right w:val="single" w:color="auto" w:sz="4" w:space="0"/>
                              <w:tl2br w:val="none" w:color="auto" w:sz="0" w:space="0"/>
                              <w:tr2bl w:val="none" w:color="auto" w:sz="0" w:space="0"/>
                            </w:tcBorders>
                            <w:textDirection w:val="tbRlV"/>
                            <w:vAlign w:val="center"/>
                          </w:tcPr>
                          <w:p>
                            <w:pPr>
                              <w:pStyle w:val="0"/>
                              <w:spacing w:line="259" w:lineRule="auto"/>
                              <w:ind w:left="113" w:leftChars="0" w:right="113" w:firstLine="0" w:firstLineChars="0"/>
                              <w:jc w:val="center"/>
                              <w:rPr>
                                <w:rFonts w:hint="default"/>
                              </w:rPr>
                            </w:pPr>
                            <w:r>
                              <w:rPr>
                                <w:rFonts w:hint="eastAsia"/>
                              </w:rPr>
                              <w:t>技術面</w:t>
                            </w:r>
                          </w:p>
                        </w:tc>
                        <w:tc>
                          <w:tcPr>
                            <w:tcW w:w="3402" w:type="dxa"/>
                            <w:tcBorders>
                              <w:top w:val="single" w:color="000000" w:sz="4" w:space="0"/>
                              <w:left w:val="single" w:color="auto"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r>
                              <w:rPr>
                                <w:rFonts w:hint="default"/>
                              </w:rPr>
                              <w:t>自動運転走行割合</w:t>
                            </w:r>
                          </w:p>
                        </w:tc>
                        <w:tc>
                          <w:tcPr>
                            <w:tcW w:w="5654"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eastAsia"/>
                              </w:rPr>
                            </w:pPr>
                            <w:r>
                              <w:rPr>
                                <w:rFonts w:hint="default"/>
                              </w:rPr>
                              <w:t>車両制御ログデータより実績を確認</w:t>
                            </w:r>
                          </w:p>
                        </w:tc>
                      </w:tr>
                      <w:tr>
                        <w:trPr>
                          <w:cantSplit/>
                          <w:trHeight w:val="362" w:hRule="atLeast"/>
                        </w:trPr>
                        <w:tc>
                          <w:tcPr>
                            <w:tcW w:w="704" w:type="dxa"/>
                            <w:vMerge w:val="continue"/>
                            <w:tcBorders>
                              <w:top w:val="none" w:color="auto" w:sz="0" w:space="0"/>
                              <w:left w:val="single" w:color="auto" w:sz="4" w:space="0"/>
                              <w:bottom w:val="none" w:color="auto" w:sz="0" w:space="0"/>
                              <w:right w:val="single" w:color="auto" w:sz="4" w:space="0"/>
                              <w:tl2br w:val="none" w:color="auto" w:sz="0" w:space="0"/>
                              <w:tr2bl w:val="none" w:color="auto" w:sz="0" w:space="0"/>
                            </w:tcBorders>
                            <w:textDirection w:val="tbRlV"/>
                            <w:vAlign w:val="center"/>
                          </w:tcPr>
                          <w:p>
                            <w:pPr>
                              <w:pStyle w:val="0"/>
                              <w:spacing w:line="259" w:lineRule="auto"/>
                              <w:ind w:left="113" w:leftChars="0" w:right="113" w:firstLine="0" w:firstLineChars="0"/>
                              <w:jc w:val="center"/>
                              <w:rPr>
                                <w:rFonts w:hint="default"/>
                              </w:rPr>
                            </w:pPr>
                          </w:p>
                        </w:tc>
                        <w:tc>
                          <w:tcPr>
                            <w:tcW w:w="3402" w:type="dxa"/>
                            <w:tcBorders>
                              <w:top w:val="single" w:color="000000" w:sz="4" w:space="0"/>
                              <w:left w:val="single" w:color="auto"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r>
                              <w:rPr>
                                <w:rFonts w:hint="default"/>
                              </w:rPr>
                              <w:t>手動介入回数・要因</w:t>
                            </w:r>
                          </w:p>
                        </w:tc>
                        <w:tc>
                          <w:tcPr>
                            <w:tcW w:w="5654"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r>
                              <w:rPr>
                                <w:rFonts w:hint="default"/>
                              </w:rPr>
                              <w:t>介入発生数、箇所、要因を集計・分析</w:t>
                            </w:r>
                          </w:p>
                        </w:tc>
                      </w:tr>
                      <w:tr>
                        <w:trPr>
                          <w:cantSplit/>
                          <w:trHeight w:val="397" w:hRule="atLeast"/>
                        </w:trPr>
                        <w:tc>
                          <w:tcPr>
                            <w:tcW w:w="704" w:type="dxa"/>
                            <w:vMerge w:val="continue"/>
                            <w:tcBorders>
                              <w:top w:val="none" w:color="auto" w:sz="0" w:space="0"/>
                              <w:left w:val="single" w:color="auto" w:sz="4" w:space="0"/>
                              <w:bottom w:val="none" w:color="auto" w:sz="0" w:space="0"/>
                              <w:right w:val="single" w:color="auto" w:sz="4" w:space="0"/>
                              <w:tl2br w:val="none" w:color="auto" w:sz="0" w:space="0"/>
                              <w:tr2bl w:val="none" w:color="auto" w:sz="0" w:space="0"/>
                            </w:tcBorders>
                            <w:textDirection w:val="tbRlV"/>
                            <w:vAlign w:val="center"/>
                          </w:tcPr>
                          <w:p>
                            <w:pPr>
                              <w:pStyle w:val="0"/>
                              <w:spacing w:line="259" w:lineRule="auto"/>
                              <w:ind w:left="113" w:leftChars="0" w:right="113" w:firstLine="0" w:firstLineChars="0"/>
                              <w:jc w:val="center"/>
                              <w:rPr>
                                <w:rFonts w:hint="default"/>
                              </w:rPr>
                            </w:pPr>
                          </w:p>
                        </w:tc>
                        <w:tc>
                          <w:tcPr>
                            <w:tcW w:w="3402" w:type="dxa"/>
                            <w:tcBorders>
                              <w:top w:val="single" w:color="000000" w:sz="4" w:space="0"/>
                              <w:left w:val="single" w:color="auto"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r>
                              <w:rPr>
                                <w:rFonts w:hint="default"/>
                              </w:rPr>
                              <w:t>ダイヤ正確性</w:t>
                            </w:r>
                          </w:p>
                        </w:tc>
                        <w:tc>
                          <w:tcPr>
                            <w:tcW w:w="5654"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r>
                              <w:rPr>
                                <w:rFonts w:hint="default"/>
                              </w:rPr>
                              <w:t>遅延</w:t>
                            </w:r>
                            <w:r>
                              <w:rPr>
                                <w:rFonts w:hint="default"/>
                              </w:rPr>
                              <w:t>5</w:t>
                            </w:r>
                            <w:r>
                              <w:rPr>
                                <w:rFonts w:hint="default"/>
                              </w:rPr>
                              <w:t>分以内を定時到着とし率を集計</w:t>
                            </w:r>
                          </w:p>
                        </w:tc>
                      </w:tr>
                      <w:tr>
                        <w:trPr>
                          <w:cantSplit/>
                          <w:trHeight w:val="850" w:hRule="atLeast"/>
                        </w:trPr>
                        <w:tc>
                          <w:tcPr>
                            <w:tcW w:w="704" w:type="dxa"/>
                            <w:vMerge w:val="restart"/>
                            <w:tcBorders>
                              <w:top w:val="single" w:color="auto" w:sz="4" w:space="0"/>
                              <w:left w:val="single" w:color="auto" w:sz="4" w:space="0"/>
                              <w:bottom w:val="single" w:color="auto" w:sz="4" w:space="0"/>
                              <w:right w:val="single" w:color="auto" w:sz="4" w:space="0"/>
                              <w:tl2br w:val="none" w:color="auto" w:sz="0" w:space="0"/>
                              <w:tr2bl w:val="none" w:color="auto" w:sz="0" w:space="0"/>
                            </w:tcBorders>
                            <w:textDirection w:val="tbRlV"/>
                            <w:vAlign w:val="center"/>
                          </w:tcPr>
                          <w:p>
                            <w:pPr>
                              <w:pStyle w:val="0"/>
                              <w:spacing w:line="259" w:lineRule="auto"/>
                              <w:ind w:left="113" w:leftChars="0" w:right="113" w:firstLine="0" w:firstLineChars="0"/>
                              <w:jc w:val="center"/>
                              <w:rPr>
                                <w:rFonts w:hint="default"/>
                              </w:rPr>
                            </w:pPr>
                            <w:r>
                              <w:rPr>
                                <w:rFonts w:hint="eastAsia"/>
                              </w:rPr>
                              <w:t>社会受容性面</w:t>
                            </w:r>
                          </w:p>
                        </w:tc>
                        <w:tc>
                          <w:tcPr>
                            <w:tcW w:w="3402" w:type="dxa"/>
                            <w:tcBorders>
                              <w:top w:val="single" w:color="000000" w:sz="4" w:space="0"/>
                              <w:left w:val="single" w:color="auto"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r>
                              <w:rPr>
                                <w:rFonts w:hint="default"/>
                              </w:rPr>
                              <w:t>利用意向・安心感</w:t>
                            </w:r>
                            <w:r>
                              <w:rPr>
                                <w:rFonts w:hint="default"/>
                              </w:rPr>
                              <w:t> </w:t>
                            </w:r>
                          </w:p>
                        </w:tc>
                        <w:tc>
                          <w:tcPr>
                            <w:tcW w:w="5654"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r>
                              <w:rPr>
                                <w:rFonts w:hint="default"/>
                              </w:rPr>
                              <w:t>試乗会参加者および地域住民へのアンケート調査</w:t>
                            </w:r>
                          </w:p>
                          <w:p>
                            <w:pPr>
                              <w:pStyle w:val="0"/>
                              <w:spacing w:line="259" w:lineRule="auto"/>
                              <w:ind w:left="0" w:leftChars="0" w:firstLine="0" w:firstLineChars="0"/>
                              <w:rPr>
                                <w:rFonts w:hint="default"/>
                              </w:rPr>
                            </w:pPr>
                            <w:r>
                              <w:rPr>
                                <w:rFonts w:hint="default"/>
                              </w:rPr>
                              <w:t>（</w:t>
                            </w:r>
                            <w:r>
                              <w:rPr>
                                <w:rFonts w:hint="default"/>
                              </w:rPr>
                              <w:t>LINE</w:t>
                            </w:r>
                            <w:r>
                              <w:rPr>
                                <w:rFonts w:hint="default"/>
                              </w:rPr>
                              <w:t>活用）</w:t>
                            </w:r>
                          </w:p>
                        </w:tc>
                      </w:tr>
                      <w:tr>
                        <w:trPr>
                          <w:cantSplit/>
                          <w:trHeight w:val="850" w:hRule="atLeast"/>
                        </w:trPr>
                        <w:tc>
                          <w:tcPr>
                            <w:tcW w:w="704" w:type="dxa"/>
                            <w:vMerge w:val="continue"/>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spacing w:line="259" w:lineRule="auto"/>
                              <w:ind w:left="0" w:leftChars="0" w:firstLine="0" w:firstLineChars="0"/>
                              <w:rPr>
                                <w:rFonts w:hint="default"/>
                              </w:rPr>
                            </w:pPr>
                          </w:p>
                        </w:tc>
                        <w:tc>
                          <w:tcPr>
                            <w:tcW w:w="3402" w:type="dxa"/>
                            <w:tcBorders>
                              <w:top w:val="single" w:color="000000" w:sz="4" w:space="0"/>
                              <w:left w:val="single" w:color="auto"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r>
                              <w:rPr>
                                <w:rFonts w:hint="default"/>
                              </w:rPr>
                              <w:t>認知度・期待度</w:t>
                            </w:r>
                          </w:p>
                        </w:tc>
                        <w:tc>
                          <w:tcPr>
                            <w:tcW w:w="5654"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r>
                              <w:rPr>
                                <w:rFonts w:hint="default"/>
                              </w:rPr>
                              <w:t>アンケートおよび広報活動（市報、チラシ、</w:t>
                            </w:r>
                            <w:r>
                              <w:rPr>
                                <w:rFonts w:hint="default"/>
                              </w:rPr>
                              <w:t>SNS</w:t>
                            </w:r>
                            <w:r>
                              <w:rPr>
                                <w:rFonts w:hint="default"/>
                              </w:rPr>
                              <w:t>）の効果</w:t>
                            </w:r>
                            <w:r>
                              <w:rPr>
                                <w:rFonts w:hint="eastAsia"/>
                              </w:rPr>
                              <w:t>の確認</w:t>
                            </w:r>
                            <w:r>
                              <w:rPr>
                                <w:rFonts w:hint="default"/>
                              </w:rPr>
                              <w:t> </w:t>
                            </w:r>
                          </w:p>
                        </w:tc>
                      </w:tr>
                    </w:tbl>
                    <w:p>
                      <w:pPr>
                        <w:pStyle w:val="0"/>
                        <w:ind w:left="0" w:leftChars="0" w:firstLine="0" w:firstLineChars="0"/>
                        <w:rPr>
                          <w:rFonts w:hint="default"/>
                        </w:rPr>
                      </w:pPr>
                    </w:p>
                  </w:txbxContent>
                </v:textbox>
                <v:imagedata o:title=""/>
                <w10:wrap type="square" side="both" anchorx="margin" anchory="text"/>
              </v:shape>
            </w:pict>
          </mc:Fallback>
        </mc:AlternateContent>
      </w:r>
      <w:commentRangeStart w:id="3"/>
      <w:r>
        <w:rPr>
          <w:rFonts w:hint="eastAsia"/>
          <w:b w:val="1"/>
          <w:spacing w:val="-4"/>
          <w:sz w:val="26"/>
        </w:rPr>
        <w:t>【検証項目・検証方法</w:t>
      </w:r>
      <w:commentRangeEnd w:id="3"/>
      <w:r>
        <w:rPr>
          <w:rFonts w:hint="eastAsia"/>
          <w:b w:val="1"/>
          <w:spacing w:val="-4"/>
          <w:sz w:val="26"/>
        </w:rPr>
        <w:commentReference w:id="3"/>
      </w:r>
      <w:r>
        <w:rPr>
          <w:rFonts w:hint="eastAsia"/>
          <w:b w:val="1"/>
          <w:spacing w:val="-4"/>
          <w:sz w:val="26"/>
        </w:rPr>
        <w:t>】</w:t>
      </w:r>
    </w:p>
    <w:p>
      <w:pPr>
        <w:pStyle w:val="0"/>
        <w:ind w:left="0" w:leftChars="0" w:firstLine="0" w:firstLineChars="0"/>
        <w:rPr>
          <w:rFonts w:hint="default"/>
        </w:rPr>
      </w:pPr>
      <w:r>
        <w:rPr>
          <w:rFonts w:hint="eastAsia"/>
          <w:b w:val="1"/>
          <w:spacing w:val="-4"/>
          <w:sz w:val="26"/>
        </w:rPr>
        <w:t>【検証・分析結果】</w:t>
      </w:r>
      <w:r>
        <w:rPr>
          <w:rFonts w:hint="eastAsia"/>
          <w:spacing w:val="-4"/>
          <w:sz w:val="26"/>
        </w:rPr>
        <w:t>　</w:t>
      </w:r>
      <w:r>
        <w:rPr>
          <w:rFonts w:hint="eastAsia"/>
          <w:spacing w:val="-4"/>
        </w:rPr>
        <w:t>（※前章【検証項目・検証方法】と連動した報告内容を記載ください）</w:t>
      </w:r>
    </w:p>
    <w:p>
      <w:pPr>
        <w:pStyle w:val="0"/>
        <w:ind w:left="0" w:leftChars="0" w:firstLine="0" w:firstLineChars="0"/>
        <w:rPr>
          <w:rFonts w:hint="default"/>
          <w:spacing w:val="-4"/>
        </w:rPr>
      </w:pPr>
    </w:p>
    <w:p>
      <w:pPr>
        <w:pStyle w:val="0"/>
        <w:ind w:left="0" w:leftChars="0" w:firstLine="0" w:firstLineChars="0"/>
        <w:rPr>
          <w:rFonts w:hint="default"/>
          <w:spacing w:val="-4"/>
        </w:rPr>
      </w:pPr>
      <w:r>
        <w:rPr>
          <w:rFonts w:hint="default"/>
          <w:spacing w:val="-4"/>
        </w:rPr>
        <mc:AlternateContent>
          <mc:Choice Requires="wps">
            <w:drawing>
              <wp:anchor distT="45720" distB="45720" distL="114300" distR="114300" simplePos="0" relativeHeight="4" behindDoc="0" locked="0" layoutInCell="1" hidden="0" allowOverlap="1">
                <wp:simplePos x="0" y="0"/>
                <wp:positionH relativeFrom="margin">
                  <wp:align>left</wp:align>
                </wp:positionH>
                <wp:positionV relativeFrom="paragraph">
                  <wp:posOffset>248285</wp:posOffset>
                </wp:positionV>
                <wp:extent cx="6386195" cy="2631440"/>
                <wp:effectExtent l="635" t="635" r="29845" b="10795"/>
                <wp:wrapSquare wrapText="bothSides"/>
                <wp:docPr id="1030" name="テキスト ボックス 6"/>
                <a:graphic xmlns:a="http://schemas.openxmlformats.org/drawingml/2006/main">
                  <a:graphicData uri="http://schemas.microsoft.com/office/word/2010/wordprocessingShape">
                    <wps:wsp>
                      <wps:cNvPr id="1030" name="テキスト ボックス 6"/>
                      <wps:cNvSpPr txBox="1">
                        <a:spLocks noChangeArrowheads="1"/>
                      </wps:cNvSpPr>
                      <wps:spPr>
                        <a:xfrm>
                          <a:off x="0" y="0"/>
                          <a:ext cx="6386195" cy="2631440"/>
                        </a:xfrm>
                        <a:prstGeom prst="rect">
                          <a:avLst/>
                        </a:prstGeom>
                        <a:solidFill>
                          <a:srgbClr val="FFFFFF"/>
                        </a:solidFill>
                        <a:ln w="9525">
                          <a:solidFill>
                            <a:srgbClr val="000000"/>
                          </a:solidFill>
                          <a:miter lim="800000"/>
                          <a:headEnd/>
                          <a:tailEnd/>
                        </a:ln>
                      </wps:spPr>
                      <wps:txbx>
                        <w:txbxContent>
                          <w:p>
                            <w:pPr>
                              <w:pStyle w:val="16"/>
                              <w:numPr>
                                <w:ilvl w:val="0"/>
                                <w:numId w:val="6"/>
                              </w:numPr>
                              <w:ind w:leftChars="0" w:firstLineChars="0"/>
                              <w:rPr>
                                <w:rFonts w:hint="default"/>
                                <w:spacing w:val="-6"/>
                              </w:rPr>
                            </w:pPr>
                            <w:r>
                              <w:rPr>
                                <w:rFonts w:hint="default"/>
                                <w:spacing w:val="-6"/>
                              </w:rPr>
                              <w:t>収入ポテンシャル</w:t>
                            </w:r>
                            <w:r>
                              <w:rPr>
                                <w:rFonts w:hint="default"/>
                                <w:spacing w:val="-6"/>
                              </w:rPr>
                              <w:t>:</w:t>
                            </w:r>
                            <w:r>
                              <w:rPr>
                                <w:rFonts w:hint="default"/>
                                <w:spacing w:val="-6"/>
                              </w:rPr>
                              <w:t>アンケートでは「現在の循環バス（ごんごバス）と同じ運賃（</w:t>
                            </w:r>
                            <w:r>
                              <w:rPr>
                                <w:rFonts w:hint="default"/>
                                <w:spacing w:val="-6"/>
                              </w:rPr>
                              <w:t>200</w:t>
                            </w:r>
                            <w:r>
                              <w:rPr>
                                <w:rFonts w:hint="default"/>
                                <w:spacing w:val="-6"/>
                              </w:rPr>
                              <w:t>円）」または「高くても利便性が高ければ利用したい」との回答が約</w:t>
                            </w:r>
                            <w:r>
                              <w:rPr>
                                <w:rFonts w:hint="default"/>
                                <w:spacing w:val="-6"/>
                              </w:rPr>
                              <w:t>7</w:t>
                            </w:r>
                            <w:r>
                              <w:rPr>
                                <w:rFonts w:hint="default"/>
                                <w:spacing w:val="-6"/>
                              </w:rPr>
                              <w:t>割であった。これを踏まえ、</w:t>
                            </w:r>
                            <w:r>
                              <w:rPr>
                                <w:rFonts w:hint="default"/>
                                <w:spacing w:val="-6"/>
                              </w:rPr>
                              <w:t>1</w:t>
                            </w:r>
                            <w:r>
                              <w:rPr>
                                <w:rFonts w:hint="default"/>
                                <w:spacing w:val="-6"/>
                              </w:rPr>
                              <w:t>日当たり</w:t>
                            </w:r>
                            <w:r>
                              <w:rPr>
                                <w:rFonts w:hint="default"/>
                                <w:spacing w:val="-6"/>
                              </w:rPr>
                              <w:t>120</w:t>
                            </w:r>
                            <w:r>
                              <w:rPr>
                                <w:rFonts w:hint="default"/>
                                <w:spacing w:val="-6"/>
                              </w:rPr>
                              <w:t>名程度の利用、年間約</w:t>
                            </w:r>
                            <w:r>
                              <w:rPr>
                                <w:rFonts w:hint="default"/>
                                <w:spacing w:val="-6"/>
                              </w:rPr>
                              <w:t>730</w:t>
                            </w:r>
                            <w:r>
                              <w:rPr>
                                <w:rFonts w:hint="default"/>
                                <w:spacing w:val="-6"/>
                              </w:rPr>
                              <w:t>万円の運賃収入が見込まれると試算した</w:t>
                            </w:r>
                            <w:r>
                              <w:rPr>
                                <w:rFonts w:hint="eastAsia"/>
                                <w:spacing w:val="-6"/>
                              </w:rPr>
                              <w:t>。</w:t>
                            </w:r>
                          </w:p>
                          <w:p>
                            <w:pPr>
                              <w:pStyle w:val="16"/>
                              <w:numPr>
                                <w:ilvl w:val="0"/>
                                <w:numId w:val="6"/>
                              </w:numPr>
                              <w:ind w:leftChars="0" w:firstLineChars="0"/>
                              <w:rPr>
                                <w:rFonts w:hint="default"/>
                                <w:spacing w:val="-6"/>
                              </w:rPr>
                            </w:pPr>
                            <w:r>
                              <w:rPr>
                                <w:rFonts w:hint="default"/>
                                <w:spacing w:val="-6"/>
                              </w:rPr>
                              <w:t>コスト面</w:t>
                            </w:r>
                            <w:r>
                              <w:rPr>
                                <w:rFonts w:hint="eastAsia"/>
                                <w:spacing w:val="-6"/>
                              </w:rPr>
                              <w:t>：</w:t>
                            </w:r>
                            <w:r>
                              <w:rPr>
                                <w:rFonts w:hint="default"/>
                                <w:spacing w:val="-6"/>
                              </w:rPr>
                              <w:t xml:space="preserve"> </w:t>
                            </w:r>
                            <w:r>
                              <w:rPr>
                                <w:rFonts w:hint="default"/>
                                <w:spacing w:val="-6"/>
                              </w:rPr>
                              <w:t>今年度は車両リース費や搬送費、システム利用料等が</w:t>
                            </w:r>
                            <w:r>
                              <w:rPr>
                                <w:rFonts w:hint="eastAsia"/>
                                <w:spacing w:val="-6"/>
                              </w:rPr>
                              <w:t>主な支出であった</w:t>
                            </w:r>
                            <w:r>
                              <w:rPr>
                                <w:rFonts w:hint="default"/>
                                <w:spacing w:val="-6"/>
                              </w:rPr>
                              <w:t>。次年度以降はレベル</w:t>
                            </w:r>
                            <w:r>
                              <w:rPr>
                                <w:rFonts w:hint="default"/>
                                <w:spacing w:val="-6"/>
                              </w:rPr>
                              <w:t>4</w:t>
                            </w:r>
                            <w:r>
                              <w:rPr>
                                <w:rFonts w:hint="default"/>
                                <w:spacing w:val="-6"/>
                              </w:rPr>
                              <w:t>認可に向けたデータ収集費用が必要となるが、</w:t>
                            </w:r>
                            <w:r>
                              <w:rPr>
                                <w:rFonts w:hint="eastAsia"/>
                                <w:spacing w:val="-6"/>
                              </w:rPr>
                              <w:t>将来的には地元交通事業者への運行委託や車両の保有（リースから保有への移行）により、持続可能なコスト構造を検討していく</w:t>
                            </w:r>
                          </w:p>
                        </w:txbxContent>
                      </wps:txbx>
                      <wps:bodyPr rot="0" vertOverflow="overflow" horzOverflow="overflow" wrap="square" anchor="t" anchorCtr="0"/>
                    </wps:wsp>
                  </a:graphicData>
                </a:graphic>
              </wp:anchor>
            </w:drawing>
          </mc:Choice>
          <mc:Fallback>
            <w:pict>
              <v:shapetype id="_x0000_t202" coordsize="21600,21600" o:spt="202" path="m,l,21600r21600,l21600,xe">
                <v:stroke joinstyle="miter"/>
                <v:path gradientshapeok="t" o:connecttype="rect"/>
              </v:shapetype>
              <v:shape id="テキスト ボックス 6" style="mso-wrap-distance-right:9pt;mso-wrap-distance-bottom:3.6pt;margin-top:19.55pt;mso-position-vertical-relative:text;mso-position-horizontal:left;mso-position-horizontal-relative:margin;v-text-anchor:top;position:absolute;mso-wrap-mode:square;height:207.2pt;mso-wrap-distance-top:3.6pt;width:502.85pt;mso-wrap-distance-left:9pt;z-index:4;" o:spid="_x0000_s1030" o:allowincell="t" o:allowoverlap="t" filled="t" fillcolor="#ffffff" stroked="t" strokecolor="#000000" strokeweight="0.75pt" o:spt="202" type="#_x0000_t202">
                <v:fill/>
                <v:stroke miterlimit="8" filltype="solid"/>
                <v:textbox style="layout-flow:horizontal;">
                  <w:txbxContent>
                    <w:p>
                      <w:pPr>
                        <w:pStyle w:val="16"/>
                        <w:numPr>
                          <w:ilvl w:val="0"/>
                          <w:numId w:val="6"/>
                        </w:numPr>
                        <w:ind w:leftChars="0" w:firstLineChars="0"/>
                        <w:rPr>
                          <w:rFonts w:hint="default"/>
                          <w:spacing w:val="-6"/>
                        </w:rPr>
                      </w:pPr>
                      <w:r>
                        <w:rPr>
                          <w:rFonts w:hint="default"/>
                          <w:spacing w:val="-6"/>
                        </w:rPr>
                        <w:t>収入ポテンシャル</w:t>
                      </w:r>
                      <w:r>
                        <w:rPr>
                          <w:rFonts w:hint="default"/>
                          <w:spacing w:val="-6"/>
                        </w:rPr>
                        <w:t>:</w:t>
                      </w:r>
                      <w:r>
                        <w:rPr>
                          <w:rFonts w:hint="default"/>
                          <w:spacing w:val="-6"/>
                        </w:rPr>
                        <w:t>アンケートでは「現在の循環バス（ごんごバス）と同じ運賃（</w:t>
                      </w:r>
                      <w:r>
                        <w:rPr>
                          <w:rFonts w:hint="default"/>
                          <w:spacing w:val="-6"/>
                        </w:rPr>
                        <w:t>200</w:t>
                      </w:r>
                      <w:r>
                        <w:rPr>
                          <w:rFonts w:hint="default"/>
                          <w:spacing w:val="-6"/>
                        </w:rPr>
                        <w:t>円）」または「高くても利便性が高ければ利用したい」との回答が約</w:t>
                      </w:r>
                      <w:r>
                        <w:rPr>
                          <w:rFonts w:hint="default"/>
                          <w:spacing w:val="-6"/>
                        </w:rPr>
                        <w:t>7</w:t>
                      </w:r>
                      <w:r>
                        <w:rPr>
                          <w:rFonts w:hint="default"/>
                          <w:spacing w:val="-6"/>
                        </w:rPr>
                        <w:t>割であった。これを踏まえ、</w:t>
                      </w:r>
                      <w:r>
                        <w:rPr>
                          <w:rFonts w:hint="default"/>
                          <w:spacing w:val="-6"/>
                        </w:rPr>
                        <w:t>1</w:t>
                      </w:r>
                      <w:r>
                        <w:rPr>
                          <w:rFonts w:hint="default"/>
                          <w:spacing w:val="-6"/>
                        </w:rPr>
                        <w:t>日当たり</w:t>
                      </w:r>
                      <w:r>
                        <w:rPr>
                          <w:rFonts w:hint="default"/>
                          <w:spacing w:val="-6"/>
                        </w:rPr>
                        <w:t>120</w:t>
                      </w:r>
                      <w:r>
                        <w:rPr>
                          <w:rFonts w:hint="default"/>
                          <w:spacing w:val="-6"/>
                        </w:rPr>
                        <w:t>名程度の利用、年間約</w:t>
                      </w:r>
                      <w:r>
                        <w:rPr>
                          <w:rFonts w:hint="default"/>
                          <w:spacing w:val="-6"/>
                        </w:rPr>
                        <w:t>730</w:t>
                      </w:r>
                      <w:r>
                        <w:rPr>
                          <w:rFonts w:hint="default"/>
                          <w:spacing w:val="-6"/>
                        </w:rPr>
                        <w:t>万円の運賃収入が見込まれると試算した</w:t>
                      </w:r>
                      <w:r>
                        <w:rPr>
                          <w:rFonts w:hint="eastAsia"/>
                          <w:spacing w:val="-6"/>
                        </w:rPr>
                        <w:t>。</w:t>
                      </w:r>
                    </w:p>
                    <w:p>
                      <w:pPr>
                        <w:pStyle w:val="16"/>
                        <w:numPr>
                          <w:ilvl w:val="0"/>
                          <w:numId w:val="6"/>
                        </w:numPr>
                        <w:ind w:leftChars="0" w:firstLineChars="0"/>
                        <w:rPr>
                          <w:rFonts w:hint="default"/>
                          <w:spacing w:val="-6"/>
                        </w:rPr>
                      </w:pPr>
                      <w:r>
                        <w:rPr>
                          <w:rFonts w:hint="default"/>
                          <w:spacing w:val="-6"/>
                        </w:rPr>
                        <w:t>コスト面</w:t>
                      </w:r>
                      <w:r>
                        <w:rPr>
                          <w:rFonts w:hint="eastAsia"/>
                          <w:spacing w:val="-6"/>
                        </w:rPr>
                        <w:t>：</w:t>
                      </w:r>
                      <w:r>
                        <w:rPr>
                          <w:rFonts w:hint="default"/>
                          <w:spacing w:val="-6"/>
                        </w:rPr>
                        <w:t xml:space="preserve"> </w:t>
                      </w:r>
                      <w:r>
                        <w:rPr>
                          <w:rFonts w:hint="default"/>
                          <w:spacing w:val="-6"/>
                        </w:rPr>
                        <w:t>今年度は車両リース費や搬送費、システム利用料等が</w:t>
                      </w:r>
                      <w:r>
                        <w:rPr>
                          <w:rFonts w:hint="eastAsia"/>
                          <w:spacing w:val="-6"/>
                        </w:rPr>
                        <w:t>主な支出であった</w:t>
                      </w:r>
                      <w:r>
                        <w:rPr>
                          <w:rFonts w:hint="default"/>
                          <w:spacing w:val="-6"/>
                        </w:rPr>
                        <w:t>。次年度以降はレベル</w:t>
                      </w:r>
                      <w:r>
                        <w:rPr>
                          <w:rFonts w:hint="default"/>
                          <w:spacing w:val="-6"/>
                        </w:rPr>
                        <w:t>4</w:t>
                      </w:r>
                      <w:r>
                        <w:rPr>
                          <w:rFonts w:hint="default"/>
                          <w:spacing w:val="-6"/>
                        </w:rPr>
                        <w:t>認可に向けたデータ収集費用が必要となるが、</w:t>
                      </w:r>
                      <w:r>
                        <w:rPr>
                          <w:rFonts w:hint="eastAsia"/>
                          <w:spacing w:val="-6"/>
                        </w:rPr>
                        <w:t>将来的には地元交通事業者への運行委託や車両の保有（リースから保有への移行）により、持続可能なコスト構造を検討していく</w:t>
                      </w:r>
                    </w:p>
                  </w:txbxContent>
                </v:textbox>
                <v:imagedata o:title=""/>
                <w10:wrap type="square" side="both" anchorx="margin" anchory="text"/>
              </v:shape>
            </w:pict>
          </mc:Fallback>
        </mc:AlternateContent>
      </w:r>
      <w:r>
        <w:rPr>
          <w:rFonts w:hint="eastAsia"/>
          <w:spacing w:val="-4"/>
        </w:rPr>
        <w:t>■</w:t>
      </w:r>
      <w:commentRangeStart w:id="4"/>
      <w:r>
        <w:rPr>
          <w:rFonts w:hint="eastAsia"/>
          <w:spacing w:val="-4"/>
        </w:rPr>
        <w:t>経営面</w:t>
      </w:r>
      <w:commentRangeEnd w:id="4"/>
      <w:r>
        <w:rPr>
          <w:rFonts w:hint="eastAsia"/>
          <w:spacing w:val="-4"/>
        </w:rPr>
        <w:commentReference w:id="4"/>
      </w:r>
    </w:p>
    <w:p>
      <w:pPr>
        <w:pStyle w:val="0"/>
        <w:ind w:left="0" w:leftChars="0" w:firstLine="0" w:firstLineChars="0"/>
        <w:rPr>
          <w:rFonts w:hint="default"/>
          <w:spacing w:val="-4"/>
        </w:rPr>
      </w:pPr>
      <w:r>
        <w:rPr>
          <w:rFonts w:hint="default"/>
          <w:spacing w:val="-4"/>
        </w:rPr>
        <mc:AlternateContent>
          <mc:Choice Requires="wps">
            <w:drawing>
              <wp:anchor distT="45720" distB="45720" distL="114300" distR="114300" simplePos="0" relativeHeight="5" behindDoc="0" locked="0" layoutInCell="1" hidden="0" allowOverlap="1">
                <wp:simplePos x="0" y="0"/>
                <wp:positionH relativeFrom="margin">
                  <wp:align>left</wp:align>
                </wp:positionH>
                <wp:positionV relativeFrom="paragraph">
                  <wp:posOffset>2993390</wp:posOffset>
                </wp:positionV>
                <wp:extent cx="6386195" cy="2682240"/>
                <wp:effectExtent l="635" t="635" r="29845" b="10795"/>
                <wp:wrapSquare wrapText="bothSides"/>
                <wp:docPr id="1031" name="テキスト ボックス 8"/>
                <a:graphic xmlns:a="http://schemas.openxmlformats.org/drawingml/2006/main">
                  <a:graphicData uri="http://schemas.microsoft.com/office/word/2010/wordprocessingShape">
                    <wps:wsp>
                      <wps:cNvPr id="1031" name="テキスト ボックス 8"/>
                      <wps:cNvSpPr txBox="1">
                        <a:spLocks noChangeArrowheads="1"/>
                      </wps:cNvSpPr>
                      <wps:spPr>
                        <a:xfrm>
                          <a:off x="0" y="0"/>
                          <a:ext cx="6386195" cy="2682240"/>
                        </a:xfrm>
                        <a:prstGeom prst="rect">
                          <a:avLst/>
                        </a:prstGeom>
                        <a:solidFill>
                          <a:srgbClr val="FFFFFF"/>
                        </a:solidFill>
                        <a:ln w="9525">
                          <a:solidFill>
                            <a:srgbClr val="000000"/>
                          </a:solidFill>
                          <a:miter lim="800000"/>
                          <a:headEnd/>
                          <a:tailEnd/>
                        </a:ln>
                      </wps:spPr>
                      <wps:txbx>
                        <w:txbxContent>
                          <w:p>
                            <w:pPr>
                              <w:pStyle w:val="16"/>
                              <w:numPr>
                                <w:ilvl w:val="0"/>
                                <w:numId w:val="7"/>
                              </w:numPr>
                              <w:ind w:leftChars="0" w:firstLineChars="0"/>
                              <w:rPr>
                                <w:rFonts w:hint="default"/>
                                <w:spacing w:val="-6"/>
                              </w:rPr>
                            </w:pPr>
                            <w:r>
                              <w:rPr>
                                <w:rFonts w:hint="default"/>
                                <w:spacing w:val="-6"/>
                              </w:rPr>
                              <w:t>自動運転割合</w:t>
                            </w:r>
                            <w:r>
                              <w:rPr>
                                <w:rFonts w:hint="eastAsia"/>
                                <w:spacing w:val="-6"/>
                              </w:rPr>
                              <w:t>：走行した結果、自動運転割合約</w:t>
                            </w:r>
                            <w:r>
                              <w:rPr>
                                <w:rFonts w:hint="default"/>
                                <w:spacing w:val="-6"/>
                              </w:rPr>
                              <w:t>9</w:t>
                            </w:r>
                            <w:r>
                              <w:rPr>
                                <w:rFonts w:hint="eastAsia"/>
                                <w:spacing w:val="-6"/>
                              </w:rPr>
                              <w:t>６％</w:t>
                            </w:r>
                            <w:r>
                              <w:rPr>
                                <w:rFonts w:hint="default"/>
                                <w:spacing w:val="-6"/>
                              </w:rPr>
                              <w:t>（</w:t>
                            </w:r>
                            <w:r>
                              <w:rPr>
                                <w:rFonts w:hint="default"/>
                                <w:spacing w:val="-6"/>
                              </w:rPr>
                              <w:t>290.5km / 303.5km</w:t>
                            </w:r>
                            <w:r>
                              <w:rPr>
                                <w:rFonts w:hint="default"/>
                                <w:spacing w:val="-6"/>
                              </w:rPr>
                              <w:t>）と高い水準を達成</w:t>
                            </w:r>
                            <w:r>
                              <w:rPr>
                                <w:rFonts w:hint="eastAsia"/>
                                <w:spacing w:val="-6"/>
                              </w:rPr>
                              <w:t>した。</w:t>
                            </w:r>
                          </w:p>
                          <w:p>
                            <w:pPr>
                              <w:pStyle w:val="16"/>
                              <w:numPr>
                                <w:ilvl w:val="0"/>
                                <w:numId w:val="7"/>
                              </w:numPr>
                              <w:ind w:leftChars="0" w:firstLineChars="0"/>
                              <w:rPr>
                                <w:rFonts w:hint="default"/>
                                <w:spacing w:val="-6"/>
                              </w:rPr>
                            </w:pPr>
                            <w:r>
                              <w:rPr>
                                <w:rFonts w:hint="default"/>
                                <w:spacing w:val="-6"/>
                              </w:rPr>
                              <w:t>ダイヤ正確性</w:t>
                            </w:r>
                            <w:r>
                              <w:rPr>
                                <w:rFonts w:hint="eastAsia"/>
                                <w:spacing w:val="-6"/>
                              </w:rPr>
                              <w:t>：</w:t>
                            </w:r>
                            <w:r>
                              <w:rPr>
                                <w:rFonts w:hint="default"/>
                                <w:spacing w:val="-6"/>
                              </w:rPr>
                              <w:t>定時到着率（遅延</w:t>
                            </w:r>
                            <w:r>
                              <w:rPr>
                                <w:rFonts w:hint="default"/>
                                <w:spacing w:val="-6"/>
                              </w:rPr>
                              <w:t>5</w:t>
                            </w:r>
                            <w:r>
                              <w:rPr>
                                <w:rFonts w:hint="default"/>
                                <w:spacing w:val="-6"/>
                              </w:rPr>
                              <w:t>分以内）は</w:t>
                            </w:r>
                            <w:r>
                              <w:rPr>
                                <w:rFonts w:hint="eastAsia"/>
                                <w:spacing w:val="-6"/>
                              </w:rPr>
                              <w:t>約</w:t>
                            </w:r>
                            <w:r>
                              <w:rPr>
                                <w:rFonts w:hint="eastAsia"/>
                                <w:spacing w:val="-6"/>
                              </w:rPr>
                              <w:t>9</w:t>
                            </w:r>
                            <w:r>
                              <w:rPr>
                                <w:rFonts w:hint="default"/>
                                <w:spacing w:val="-6"/>
                              </w:rPr>
                              <w:t>7%</w:t>
                            </w:r>
                            <w:r>
                              <w:rPr>
                                <w:rFonts w:hint="default"/>
                                <w:spacing w:val="-6"/>
                              </w:rPr>
                              <w:t>（</w:t>
                            </w:r>
                            <w:r>
                              <w:rPr>
                                <w:rFonts w:hint="default"/>
                                <w:spacing w:val="-6"/>
                              </w:rPr>
                              <w:t>64</w:t>
                            </w:r>
                            <w:r>
                              <w:rPr>
                                <w:rFonts w:hint="default"/>
                                <w:spacing w:val="-6"/>
                              </w:rPr>
                              <w:t>便中</w:t>
                            </w:r>
                            <w:r>
                              <w:rPr>
                                <w:rFonts w:hint="default"/>
                                <w:spacing w:val="-6"/>
                              </w:rPr>
                              <w:t>62</w:t>
                            </w:r>
                            <w:r>
                              <w:rPr>
                                <w:rFonts w:hint="default"/>
                                <w:spacing w:val="-6"/>
                              </w:rPr>
                              <w:t>便）と</w:t>
                            </w:r>
                            <w:r>
                              <w:rPr>
                                <w:rFonts w:hint="eastAsia"/>
                                <w:spacing w:val="-6"/>
                              </w:rPr>
                              <w:t>高い水準を達成した。</w:t>
                            </w:r>
                            <w:r>
                              <w:rPr>
                                <w:rFonts w:hint="default"/>
                                <w:spacing w:val="-6"/>
                              </w:rPr>
                              <w:t>遅延はシステムトラブル等の</w:t>
                            </w:r>
                            <w:r>
                              <w:rPr>
                                <w:rFonts w:hint="default"/>
                                <w:spacing w:val="-6"/>
                              </w:rPr>
                              <w:t>2</w:t>
                            </w:r>
                            <w:r>
                              <w:rPr>
                                <w:rFonts w:hint="default"/>
                                <w:spacing w:val="-6"/>
                              </w:rPr>
                              <w:t>便のみであった</w:t>
                            </w:r>
                            <w:r>
                              <w:rPr>
                                <w:rFonts w:hint="eastAsia"/>
                                <w:spacing w:val="-6"/>
                              </w:rPr>
                              <w:t>。</w:t>
                            </w:r>
                          </w:p>
                          <w:p>
                            <w:pPr>
                              <w:pStyle w:val="16"/>
                              <w:numPr>
                                <w:ilvl w:val="0"/>
                                <w:numId w:val="7"/>
                              </w:numPr>
                              <w:ind w:leftChars="0" w:firstLineChars="0"/>
                              <w:rPr>
                                <w:rFonts w:hint="default"/>
                                <w:spacing w:val="-6"/>
                              </w:rPr>
                            </w:pPr>
                            <w:r>
                              <w:rPr>
                                <w:rFonts w:hint="default"/>
                                <w:spacing w:val="-6"/>
                              </w:rPr>
                              <w:t>手動介入</w:t>
                            </w:r>
                            <w:r>
                              <w:rPr>
                                <w:rFonts w:hint="default"/>
                                <w:spacing w:val="-6"/>
                              </w:rPr>
                              <w:t>:</w:t>
                            </w:r>
                            <w:r>
                              <w:rPr>
                                <w:rFonts w:hint="default"/>
                                <w:spacing w:val="-6"/>
                              </w:rPr>
                              <w:t>平均</w:t>
                            </w:r>
                            <w:r>
                              <w:rPr>
                                <w:rFonts w:hint="default"/>
                                <w:spacing w:val="-6"/>
                              </w:rPr>
                              <w:t>2.2</w:t>
                            </w:r>
                            <w:r>
                              <w:rPr>
                                <w:rFonts w:hint="default"/>
                                <w:spacing w:val="-6"/>
                              </w:rPr>
                              <w:t>回</w:t>
                            </w:r>
                            <w:r>
                              <w:rPr>
                                <w:rFonts w:hint="default"/>
                                <w:spacing w:val="-6"/>
                              </w:rPr>
                              <w:t>/</w:t>
                            </w:r>
                            <w:r>
                              <w:rPr>
                                <w:rFonts w:hint="default"/>
                                <w:spacing w:val="-6"/>
                              </w:rPr>
                              <w:t>便（計</w:t>
                            </w:r>
                            <w:r>
                              <w:rPr>
                                <w:rFonts w:hint="default"/>
                                <w:spacing w:val="-6"/>
                              </w:rPr>
                              <w:t>142</w:t>
                            </w:r>
                            <w:r>
                              <w:rPr>
                                <w:rFonts w:hint="default"/>
                                <w:spacing w:val="-6"/>
                              </w:rPr>
                              <w:t>回）発生。主な要因は「路上駐車回避（津山駅</w:t>
                            </w:r>
                            <w:r>
                              <w:rPr>
                                <w:rFonts w:hint="eastAsia"/>
                                <w:spacing w:val="-6"/>
                              </w:rPr>
                              <w:t>前広場等</w:t>
                            </w:r>
                            <w:r>
                              <w:rPr>
                                <w:rFonts w:hint="default"/>
                                <w:spacing w:val="-6"/>
                              </w:rPr>
                              <w:t>）」「交差点での対向車や右折車対応（船頭町交差点、椿高下交差点等）」であった</w:t>
                            </w:r>
                            <w:r>
                              <w:rPr>
                                <w:rFonts w:hint="eastAsia"/>
                                <w:spacing w:val="-6"/>
                              </w:rPr>
                              <w:t>。</w:t>
                            </w:r>
                          </w:p>
                          <w:p>
                            <w:pPr>
                              <w:pStyle w:val="16"/>
                              <w:numPr>
                                <w:ilvl w:val="0"/>
                                <w:numId w:val="7"/>
                              </w:numPr>
                              <w:ind w:leftChars="0" w:firstLineChars="0"/>
                              <w:rPr>
                                <w:rFonts w:hint="default"/>
                                <w:spacing w:val="-6"/>
                              </w:rPr>
                            </w:pPr>
                            <w:r>
                              <w:rPr>
                                <w:rFonts w:hint="default"/>
                                <w:spacing w:val="-6"/>
                              </w:rPr>
                              <w:t>課題と</w:t>
                            </w:r>
                            <w:r>
                              <w:rPr>
                                <w:rFonts w:hint="eastAsia"/>
                                <w:spacing w:val="-6"/>
                              </w:rPr>
                              <w:t>対応策：</w:t>
                            </w:r>
                            <w:r>
                              <w:rPr>
                                <w:rFonts w:hint="default"/>
                                <w:spacing w:val="-6"/>
                              </w:rPr>
                              <w:t xml:space="preserve"> </w:t>
                            </w:r>
                            <w:r>
                              <w:rPr>
                                <w:rFonts w:hint="default"/>
                                <w:spacing w:val="-6"/>
                              </w:rPr>
                              <w:t>下り坂からの狭いレーン進入や、交差点内での右折車回避での急停車が課題。なだらかな減速制御、指導線の設置、信号連携、路上駐車対策（監視カメラ等）を検討する</w:t>
                            </w:r>
                          </w:p>
                        </w:txbxContent>
                      </wps:txbx>
                      <wps:bodyPr rot="0" vertOverflow="overflow" horzOverflow="overflow" wrap="square" anchor="t" anchorCtr="0"/>
                    </wps:wsp>
                  </a:graphicData>
                </a:graphic>
              </wp:anchor>
            </w:drawing>
          </mc:Choice>
          <mc:Fallback>
            <w:pict>
              <v:shapetype id="_x0000_t202" coordsize="21600,21600" o:spt="202" path="m,l,21600r21600,l21600,xe">
                <v:stroke joinstyle="miter"/>
                <v:path gradientshapeok="t" o:connecttype="rect"/>
              </v:shapetype>
              <v:shape id="テキスト ボックス 8" style="mso-wrap-distance-right:9pt;mso-wrap-distance-bottom:3.6pt;margin-top:235.7pt;mso-position-vertical-relative:text;mso-position-horizontal:left;mso-position-horizontal-relative:margin;v-text-anchor:top;position:absolute;mso-wrap-mode:square;height:211.2pt;mso-wrap-distance-top:3.6pt;width:502.85pt;mso-wrap-distance-left:9pt;z-index:5;" o:spid="_x0000_s1031" o:allowincell="t" o:allowoverlap="t" filled="t" fillcolor="#ffffff" stroked="t" strokecolor="#000000" strokeweight="0.75pt" o:spt="202" type="#_x0000_t202">
                <v:fill/>
                <v:stroke miterlimit="8" filltype="solid"/>
                <v:textbox style="layout-flow:horizontal;">
                  <w:txbxContent>
                    <w:p>
                      <w:pPr>
                        <w:pStyle w:val="16"/>
                        <w:numPr>
                          <w:ilvl w:val="0"/>
                          <w:numId w:val="7"/>
                        </w:numPr>
                        <w:ind w:leftChars="0" w:firstLineChars="0"/>
                        <w:rPr>
                          <w:rFonts w:hint="default"/>
                          <w:spacing w:val="-6"/>
                        </w:rPr>
                      </w:pPr>
                      <w:r>
                        <w:rPr>
                          <w:rFonts w:hint="default"/>
                          <w:spacing w:val="-6"/>
                        </w:rPr>
                        <w:t>自動運転割合</w:t>
                      </w:r>
                      <w:r>
                        <w:rPr>
                          <w:rFonts w:hint="eastAsia"/>
                          <w:spacing w:val="-6"/>
                        </w:rPr>
                        <w:t>：走行した結果、自動運転割合約</w:t>
                      </w:r>
                      <w:r>
                        <w:rPr>
                          <w:rFonts w:hint="default"/>
                          <w:spacing w:val="-6"/>
                        </w:rPr>
                        <w:t>9</w:t>
                      </w:r>
                      <w:r>
                        <w:rPr>
                          <w:rFonts w:hint="eastAsia"/>
                          <w:spacing w:val="-6"/>
                        </w:rPr>
                        <w:t>６％</w:t>
                      </w:r>
                      <w:r>
                        <w:rPr>
                          <w:rFonts w:hint="default"/>
                          <w:spacing w:val="-6"/>
                        </w:rPr>
                        <w:t>（</w:t>
                      </w:r>
                      <w:r>
                        <w:rPr>
                          <w:rFonts w:hint="default"/>
                          <w:spacing w:val="-6"/>
                        </w:rPr>
                        <w:t>290.5km / 303.5km</w:t>
                      </w:r>
                      <w:r>
                        <w:rPr>
                          <w:rFonts w:hint="default"/>
                          <w:spacing w:val="-6"/>
                        </w:rPr>
                        <w:t>）と高い水準を達成</w:t>
                      </w:r>
                      <w:r>
                        <w:rPr>
                          <w:rFonts w:hint="eastAsia"/>
                          <w:spacing w:val="-6"/>
                        </w:rPr>
                        <w:t>した。</w:t>
                      </w:r>
                    </w:p>
                    <w:p>
                      <w:pPr>
                        <w:pStyle w:val="16"/>
                        <w:numPr>
                          <w:ilvl w:val="0"/>
                          <w:numId w:val="7"/>
                        </w:numPr>
                        <w:ind w:leftChars="0" w:firstLineChars="0"/>
                        <w:rPr>
                          <w:rFonts w:hint="default"/>
                          <w:spacing w:val="-6"/>
                        </w:rPr>
                      </w:pPr>
                      <w:r>
                        <w:rPr>
                          <w:rFonts w:hint="default"/>
                          <w:spacing w:val="-6"/>
                        </w:rPr>
                        <w:t>ダイヤ正確性</w:t>
                      </w:r>
                      <w:r>
                        <w:rPr>
                          <w:rFonts w:hint="eastAsia"/>
                          <w:spacing w:val="-6"/>
                        </w:rPr>
                        <w:t>：</w:t>
                      </w:r>
                      <w:r>
                        <w:rPr>
                          <w:rFonts w:hint="default"/>
                          <w:spacing w:val="-6"/>
                        </w:rPr>
                        <w:t>定時到着率（遅延</w:t>
                      </w:r>
                      <w:r>
                        <w:rPr>
                          <w:rFonts w:hint="default"/>
                          <w:spacing w:val="-6"/>
                        </w:rPr>
                        <w:t>5</w:t>
                      </w:r>
                      <w:r>
                        <w:rPr>
                          <w:rFonts w:hint="default"/>
                          <w:spacing w:val="-6"/>
                        </w:rPr>
                        <w:t>分以内）は</w:t>
                      </w:r>
                      <w:r>
                        <w:rPr>
                          <w:rFonts w:hint="eastAsia"/>
                          <w:spacing w:val="-6"/>
                        </w:rPr>
                        <w:t>約</w:t>
                      </w:r>
                      <w:r>
                        <w:rPr>
                          <w:rFonts w:hint="eastAsia"/>
                          <w:spacing w:val="-6"/>
                        </w:rPr>
                        <w:t>9</w:t>
                      </w:r>
                      <w:r>
                        <w:rPr>
                          <w:rFonts w:hint="default"/>
                          <w:spacing w:val="-6"/>
                        </w:rPr>
                        <w:t>7%</w:t>
                      </w:r>
                      <w:r>
                        <w:rPr>
                          <w:rFonts w:hint="default"/>
                          <w:spacing w:val="-6"/>
                        </w:rPr>
                        <w:t>（</w:t>
                      </w:r>
                      <w:r>
                        <w:rPr>
                          <w:rFonts w:hint="default"/>
                          <w:spacing w:val="-6"/>
                        </w:rPr>
                        <w:t>64</w:t>
                      </w:r>
                      <w:r>
                        <w:rPr>
                          <w:rFonts w:hint="default"/>
                          <w:spacing w:val="-6"/>
                        </w:rPr>
                        <w:t>便中</w:t>
                      </w:r>
                      <w:r>
                        <w:rPr>
                          <w:rFonts w:hint="default"/>
                          <w:spacing w:val="-6"/>
                        </w:rPr>
                        <w:t>62</w:t>
                      </w:r>
                      <w:r>
                        <w:rPr>
                          <w:rFonts w:hint="default"/>
                          <w:spacing w:val="-6"/>
                        </w:rPr>
                        <w:t>便）と</w:t>
                      </w:r>
                      <w:r>
                        <w:rPr>
                          <w:rFonts w:hint="eastAsia"/>
                          <w:spacing w:val="-6"/>
                        </w:rPr>
                        <w:t>高い水準を達成した。</w:t>
                      </w:r>
                      <w:r>
                        <w:rPr>
                          <w:rFonts w:hint="default"/>
                          <w:spacing w:val="-6"/>
                        </w:rPr>
                        <w:t>遅延はシステムトラブル等の</w:t>
                      </w:r>
                      <w:r>
                        <w:rPr>
                          <w:rFonts w:hint="default"/>
                          <w:spacing w:val="-6"/>
                        </w:rPr>
                        <w:t>2</w:t>
                      </w:r>
                      <w:r>
                        <w:rPr>
                          <w:rFonts w:hint="default"/>
                          <w:spacing w:val="-6"/>
                        </w:rPr>
                        <w:t>便のみであった</w:t>
                      </w:r>
                      <w:r>
                        <w:rPr>
                          <w:rFonts w:hint="eastAsia"/>
                          <w:spacing w:val="-6"/>
                        </w:rPr>
                        <w:t>。</w:t>
                      </w:r>
                    </w:p>
                    <w:p>
                      <w:pPr>
                        <w:pStyle w:val="16"/>
                        <w:numPr>
                          <w:ilvl w:val="0"/>
                          <w:numId w:val="7"/>
                        </w:numPr>
                        <w:ind w:leftChars="0" w:firstLineChars="0"/>
                        <w:rPr>
                          <w:rFonts w:hint="default"/>
                          <w:spacing w:val="-6"/>
                        </w:rPr>
                      </w:pPr>
                      <w:r>
                        <w:rPr>
                          <w:rFonts w:hint="default"/>
                          <w:spacing w:val="-6"/>
                        </w:rPr>
                        <w:t>手動介入</w:t>
                      </w:r>
                      <w:r>
                        <w:rPr>
                          <w:rFonts w:hint="default"/>
                          <w:spacing w:val="-6"/>
                        </w:rPr>
                        <w:t>:</w:t>
                      </w:r>
                      <w:r>
                        <w:rPr>
                          <w:rFonts w:hint="default"/>
                          <w:spacing w:val="-6"/>
                        </w:rPr>
                        <w:t>平均</w:t>
                      </w:r>
                      <w:r>
                        <w:rPr>
                          <w:rFonts w:hint="default"/>
                          <w:spacing w:val="-6"/>
                        </w:rPr>
                        <w:t>2.2</w:t>
                      </w:r>
                      <w:r>
                        <w:rPr>
                          <w:rFonts w:hint="default"/>
                          <w:spacing w:val="-6"/>
                        </w:rPr>
                        <w:t>回</w:t>
                      </w:r>
                      <w:r>
                        <w:rPr>
                          <w:rFonts w:hint="default"/>
                          <w:spacing w:val="-6"/>
                        </w:rPr>
                        <w:t>/</w:t>
                      </w:r>
                      <w:r>
                        <w:rPr>
                          <w:rFonts w:hint="default"/>
                          <w:spacing w:val="-6"/>
                        </w:rPr>
                        <w:t>便（計</w:t>
                      </w:r>
                      <w:r>
                        <w:rPr>
                          <w:rFonts w:hint="default"/>
                          <w:spacing w:val="-6"/>
                        </w:rPr>
                        <w:t>142</w:t>
                      </w:r>
                      <w:r>
                        <w:rPr>
                          <w:rFonts w:hint="default"/>
                          <w:spacing w:val="-6"/>
                        </w:rPr>
                        <w:t>回）発生。主な要因は「路上駐車回避（津山駅</w:t>
                      </w:r>
                      <w:r>
                        <w:rPr>
                          <w:rFonts w:hint="eastAsia"/>
                          <w:spacing w:val="-6"/>
                        </w:rPr>
                        <w:t>前広場等</w:t>
                      </w:r>
                      <w:r>
                        <w:rPr>
                          <w:rFonts w:hint="default"/>
                          <w:spacing w:val="-6"/>
                        </w:rPr>
                        <w:t>）」「交差点での対向車や右折車対応（船頭町交差点、椿高下交差点等）」であった</w:t>
                      </w:r>
                      <w:r>
                        <w:rPr>
                          <w:rFonts w:hint="eastAsia"/>
                          <w:spacing w:val="-6"/>
                        </w:rPr>
                        <w:t>。</w:t>
                      </w:r>
                    </w:p>
                    <w:p>
                      <w:pPr>
                        <w:pStyle w:val="16"/>
                        <w:numPr>
                          <w:ilvl w:val="0"/>
                          <w:numId w:val="7"/>
                        </w:numPr>
                        <w:ind w:leftChars="0" w:firstLineChars="0"/>
                        <w:rPr>
                          <w:rFonts w:hint="default"/>
                          <w:spacing w:val="-6"/>
                        </w:rPr>
                      </w:pPr>
                      <w:r>
                        <w:rPr>
                          <w:rFonts w:hint="default"/>
                          <w:spacing w:val="-6"/>
                        </w:rPr>
                        <w:t>課題と</w:t>
                      </w:r>
                      <w:r>
                        <w:rPr>
                          <w:rFonts w:hint="eastAsia"/>
                          <w:spacing w:val="-6"/>
                        </w:rPr>
                        <w:t>対応策：</w:t>
                      </w:r>
                      <w:r>
                        <w:rPr>
                          <w:rFonts w:hint="default"/>
                          <w:spacing w:val="-6"/>
                        </w:rPr>
                        <w:t xml:space="preserve"> </w:t>
                      </w:r>
                      <w:r>
                        <w:rPr>
                          <w:rFonts w:hint="default"/>
                          <w:spacing w:val="-6"/>
                        </w:rPr>
                        <w:t>下り坂からの狭いレーン進入や、交差点内での右折車回避での急停車が課題。なだらかな減速制御、指導線の設置、信号連携、路上駐車対策（監視カメラ等）を検討する</w:t>
                      </w:r>
                    </w:p>
                  </w:txbxContent>
                </v:textbox>
                <v:imagedata o:title=""/>
                <w10:wrap type="square" side="both" anchorx="margin" anchory="text"/>
              </v:shape>
            </w:pict>
          </mc:Fallback>
        </mc:AlternateContent>
      </w:r>
      <w:r>
        <w:rPr>
          <w:rFonts w:hint="eastAsia"/>
          <w:spacing w:val="-4"/>
        </w:rPr>
        <w:t>■</w:t>
      </w:r>
      <w:commentRangeStart w:id="5"/>
      <w:r>
        <w:rPr>
          <w:rFonts w:hint="eastAsia"/>
          <w:spacing w:val="-4"/>
        </w:rPr>
        <w:t>技術面</w:t>
      </w:r>
      <w:commentRangeEnd w:id="5"/>
      <w:r>
        <w:rPr>
          <w:rFonts w:hint="eastAsia"/>
          <w:spacing w:val="-4"/>
        </w:rPr>
        <w:commentReference w:id="5"/>
      </w:r>
    </w:p>
    <w:p>
      <w:pPr>
        <w:pStyle w:val="0"/>
        <w:ind w:left="0" w:leftChars="0" w:firstLine="0" w:firstLineChars="0"/>
        <w:rPr>
          <w:rFonts w:hint="default"/>
          <w:spacing w:val="-4"/>
        </w:rPr>
      </w:pPr>
      <w:r>
        <w:rPr>
          <w:rFonts w:hint="default"/>
          <w:spacing w:val="-4"/>
        </w:rPr>
        <mc:AlternateContent>
          <mc:Choice Requires="wps">
            <w:drawing>
              <wp:anchor distT="45720" distB="45720" distL="114300" distR="114300" simplePos="0" relativeHeight="6" behindDoc="0" locked="0" layoutInCell="1" hidden="0" allowOverlap="1">
                <wp:simplePos x="0" y="0"/>
                <wp:positionH relativeFrom="margin">
                  <wp:align>left</wp:align>
                </wp:positionH>
                <wp:positionV relativeFrom="paragraph">
                  <wp:posOffset>3030220</wp:posOffset>
                </wp:positionV>
                <wp:extent cx="6386195" cy="2828925"/>
                <wp:effectExtent l="635" t="635" r="29845" b="10795"/>
                <wp:wrapSquare wrapText="bothSides"/>
                <wp:docPr id="1032" name="テキスト ボックス 7"/>
                <a:graphic xmlns:a="http://schemas.openxmlformats.org/drawingml/2006/main">
                  <a:graphicData uri="http://schemas.microsoft.com/office/word/2010/wordprocessingShape">
                    <wps:wsp>
                      <wps:cNvPr id="1032" name="テキスト ボックス 7"/>
                      <wps:cNvSpPr txBox="1">
                        <a:spLocks noChangeArrowheads="1"/>
                      </wps:cNvSpPr>
                      <wps:spPr>
                        <a:xfrm>
                          <a:off x="0" y="0"/>
                          <a:ext cx="6386195" cy="2828925"/>
                        </a:xfrm>
                        <a:prstGeom prst="rect">
                          <a:avLst/>
                        </a:prstGeom>
                        <a:solidFill>
                          <a:srgbClr val="FFFFFF"/>
                        </a:solidFill>
                        <a:ln w="9525">
                          <a:solidFill>
                            <a:srgbClr val="000000"/>
                          </a:solidFill>
                          <a:miter lim="800000"/>
                          <a:headEnd/>
                          <a:tailEnd/>
                        </a:ln>
                      </wps:spPr>
                      <wps:txbx>
                        <w:txbxContent>
                          <w:p>
                            <w:pPr>
                              <w:pStyle w:val="16"/>
                              <w:numPr>
                                <w:ilvl w:val="0"/>
                                <w:numId w:val="7"/>
                              </w:numPr>
                              <w:ind w:leftChars="0" w:firstLineChars="0"/>
                              <w:rPr>
                                <w:rFonts w:hint="default"/>
                              </w:rPr>
                            </w:pPr>
                            <w:r>
                              <w:rPr>
                                <w:rFonts w:hint="default"/>
                              </w:rPr>
                              <w:t>試乗会実績</w:t>
                            </w:r>
                            <w:r>
                              <w:rPr>
                                <w:rFonts w:hint="eastAsia"/>
                              </w:rPr>
                              <w:t>：予約枠に対する予約率は</w:t>
                            </w:r>
                            <w:r>
                              <w:rPr>
                                <w:rFonts w:hint="default"/>
                              </w:rPr>
                              <w:t>96.5%</w:t>
                            </w:r>
                            <w:r>
                              <w:rPr>
                                <w:rFonts w:hint="default"/>
                              </w:rPr>
                              <w:t>、乗車率は</w:t>
                            </w:r>
                            <w:r>
                              <w:rPr>
                                <w:rFonts w:hint="default"/>
                              </w:rPr>
                              <w:t>80.0%</w:t>
                            </w:r>
                            <w:r>
                              <w:rPr>
                                <w:rFonts w:hint="default"/>
                              </w:rPr>
                              <w:t>（</w:t>
                            </w:r>
                            <w:r>
                              <w:rPr>
                                <w:rFonts w:hint="default"/>
                              </w:rPr>
                              <w:t>374</w:t>
                            </w:r>
                            <w:r>
                              <w:rPr>
                                <w:rFonts w:hint="default"/>
                              </w:rPr>
                              <w:t>名参加）と高く、市民の関心の高さ</w:t>
                            </w:r>
                          </w:p>
                          <w:p>
                            <w:pPr>
                              <w:pStyle w:val="0"/>
                              <w:ind w:left="220" w:leftChars="100"/>
                              <w:rPr>
                                <w:rFonts w:hint="default"/>
                              </w:rPr>
                            </w:pPr>
                            <w:r>
                              <w:rPr>
                                <w:rFonts w:hint="default"/>
                              </w:rPr>
                              <w:t>が伺えた</w:t>
                            </w:r>
                            <w:r>
                              <w:rPr>
                                <w:rFonts w:hint="eastAsia"/>
                              </w:rPr>
                              <w:t>。</w:t>
                            </w:r>
                          </w:p>
                          <w:p>
                            <w:pPr>
                              <w:pStyle w:val="16"/>
                              <w:numPr>
                                <w:ilvl w:val="0"/>
                                <w:numId w:val="7"/>
                              </w:numPr>
                              <w:ind w:leftChars="0" w:firstLineChars="0"/>
                              <w:rPr>
                                <w:rFonts w:hint="default"/>
                              </w:rPr>
                            </w:pPr>
                            <w:r>
                              <w:rPr>
                                <w:rFonts w:hint="default"/>
                              </w:rPr>
                              <w:t>安心感・期待</w:t>
                            </w:r>
                            <w:r>
                              <w:rPr>
                                <w:rFonts w:hint="default"/>
                              </w:rPr>
                              <w:t>:</w:t>
                            </w:r>
                            <w:r>
                              <w:rPr>
                                <w:rFonts w:hint="default"/>
                              </w:rPr>
                              <w:t>試乗後アンケート（回答</w:t>
                            </w:r>
                            <w:r>
                              <w:rPr>
                                <w:rFonts w:hint="default"/>
                              </w:rPr>
                              <w:t>150</w:t>
                            </w:r>
                            <w:r>
                              <w:rPr>
                                <w:rFonts w:hint="default"/>
                              </w:rPr>
                              <w:t>名）では約</w:t>
                            </w:r>
                            <w:r>
                              <w:rPr>
                                <w:rFonts w:hint="default"/>
                              </w:rPr>
                              <w:t>7</w:t>
                            </w:r>
                            <w:r>
                              <w:rPr>
                                <w:rFonts w:hint="default"/>
                              </w:rPr>
                              <w:t>割が「とても安心」「安心」と回答した。自動運転に期待することとして「ドライバー不足の解消」が</w:t>
                            </w:r>
                            <w:r>
                              <w:rPr>
                                <w:rFonts w:hint="default"/>
                              </w:rPr>
                              <w:t>75%</w:t>
                            </w:r>
                            <w:r>
                              <w:rPr>
                                <w:rFonts w:hint="default"/>
                              </w:rPr>
                              <w:t>で最も多く、次いで「持続可能な公共交通の実現」が挙げられた</w:t>
                            </w:r>
                            <w:r>
                              <w:rPr>
                                <w:rFonts w:hint="eastAsia"/>
                              </w:rPr>
                              <w:t>。</w:t>
                            </w:r>
                          </w:p>
                          <w:p>
                            <w:pPr>
                              <w:pStyle w:val="16"/>
                              <w:numPr>
                                <w:ilvl w:val="0"/>
                                <w:numId w:val="7"/>
                              </w:numPr>
                              <w:ind w:leftChars="0" w:firstLineChars="0"/>
                              <w:rPr>
                                <w:rFonts w:hint="default"/>
                              </w:rPr>
                            </w:pPr>
                            <w:r>
                              <w:rPr>
                                <w:rFonts w:hint="eastAsia"/>
                              </w:rPr>
                              <w:t>利用意向</w:t>
                            </w:r>
                            <w:r>
                              <w:rPr>
                                <w:rFonts w:hint="default"/>
                              </w:rPr>
                              <w:t>:</w:t>
                            </w:r>
                            <w:r>
                              <w:rPr>
                                <w:rFonts w:hint="default"/>
                              </w:rPr>
                              <w:t>将来的な利用頻度については「年に数回」「月に数回」が多く、日常利用への転換が課題である。ただし、</w:t>
                            </w:r>
                            <w:r>
                              <w:rPr>
                                <w:rFonts w:hint="default"/>
                              </w:rPr>
                              <w:t>10</w:t>
                            </w:r>
                            <w:r>
                              <w:rPr>
                                <w:rFonts w:hint="default"/>
                              </w:rPr>
                              <w:t>代以下では約</w:t>
                            </w:r>
                            <w:r>
                              <w:rPr>
                                <w:rFonts w:hint="default"/>
                              </w:rPr>
                              <w:t>8</w:t>
                            </w:r>
                            <w:r>
                              <w:rPr>
                                <w:rFonts w:hint="default"/>
                              </w:rPr>
                              <w:t>割が「日常的に利用したい」と回答しており、若年層の受容性が高い傾向が見られた</w:t>
                            </w:r>
                          </w:p>
                          <w:p>
                            <w:pPr>
                              <w:pStyle w:val="16"/>
                              <w:numPr>
                                <w:ilvl w:val="0"/>
                                <w:numId w:val="7"/>
                              </w:numPr>
                              <w:ind w:leftChars="0" w:firstLineChars="0"/>
                              <w:rPr>
                                <w:rFonts w:hint="default"/>
                              </w:rPr>
                            </w:pPr>
                            <w:r>
                              <w:rPr>
                                <w:rFonts w:hint="eastAsia"/>
                              </w:rPr>
                              <w:t>自動運転バスの認知：</w:t>
                            </w:r>
                            <w:r>
                              <w:rPr>
                                <w:rFonts w:hint="default"/>
                              </w:rPr>
                              <w:t>市広報誌やチラシが約半数を占め、</w:t>
                            </w:r>
                            <w:r>
                              <w:rPr>
                                <w:rFonts w:hint="default"/>
                              </w:rPr>
                              <w:t>SNS</w:t>
                            </w:r>
                            <w:r>
                              <w:rPr>
                                <w:rFonts w:hint="default"/>
                              </w:rPr>
                              <w:t>や口コミによる認知は若年層や高齢層で効果が見られた</w:t>
                            </w:r>
                            <w:r>
                              <w:rPr>
                                <w:rFonts w:hint="eastAsia"/>
                              </w:rPr>
                              <w:t>。</w:t>
                            </w:r>
                          </w:p>
                          <w:p>
                            <w:pPr>
                              <w:pStyle w:val="16"/>
                              <w:numPr>
                                <w:ilvl w:val="0"/>
                                <w:numId w:val="7"/>
                              </w:numPr>
                              <w:ind w:leftChars="0" w:firstLineChars="0"/>
                              <w:rPr>
                                <w:rFonts w:hint="default"/>
                              </w:rPr>
                            </w:pPr>
                            <w:r>
                              <w:rPr>
                                <w:rFonts w:hint="default"/>
                              </w:rPr>
                              <w:t>今後の展開</w:t>
                            </w:r>
                            <w:r>
                              <w:rPr>
                                <w:rFonts w:hint="default"/>
                              </w:rPr>
                              <w:t>: 2027</w:t>
                            </w:r>
                            <w:r>
                              <w:rPr>
                                <w:rFonts w:hint="default"/>
                              </w:rPr>
                              <w:t>年度の一部区間レベル</w:t>
                            </w:r>
                            <w:r>
                              <w:rPr>
                                <w:rFonts w:hint="default"/>
                              </w:rPr>
                              <w:t>4</w:t>
                            </w:r>
                            <w:r>
                              <w:rPr>
                                <w:rFonts w:hint="default"/>
                              </w:rPr>
                              <w:t>運行、</w:t>
                            </w:r>
                            <w:r>
                              <w:rPr>
                                <w:rFonts w:hint="default"/>
                              </w:rPr>
                              <w:t>2028</w:t>
                            </w:r>
                            <w:r>
                              <w:rPr>
                                <w:rFonts w:hint="default"/>
                              </w:rPr>
                              <w:t>年度の通年運行開始を目指し、継続的な受容性向上施策（試乗会、教育機関との連携等）を実施していく</w:t>
                            </w:r>
                          </w:p>
                        </w:txbxContent>
                      </wps:txbx>
                      <wps:bodyPr rot="0" vertOverflow="overflow" horzOverflow="overflow" wrap="square" anchor="t" anchorCtr="0"/>
                    </wps:wsp>
                  </a:graphicData>
                </a:graphic>
              </wp:anchor>
            </w:drawing>
          </mc:Choice>
          <mc:Fallback>
            <w:pict>
              <v:shapetype id="_x0000_t202" coordsize="21600,21600" o:spt="202" path="m,l,21600r21600,l21600,xe">
                <v:stroke joinstyle="miter"/>
                <v:path gradientshapeok="t" o:connecttype="rect"/>
              </v:shapetype>
              <v:shape id="テキスト ボックス 7" style="mso-wrap-distance-right:9pt;mso-wrap-distance-bottom:3.6pt;margin-top:238.6pt;mso-position-vertical-relative:text;mso-position-horizontal:left;mso-position-horizontal-relative:margin;v-text-anchor:top;position:absolute;mso-wrap-mode:square;height:222.75pt;mso-wrap-distance-top:3.6pt;width:502.85pt;mso-wrap-distance-left:9pt;z-index:6;" o:spid="_x0000_s1032" o:allowincell="t" o:allowoverlap="t" filled="t" fillcolor="#ffffff" stroked="t" strokecolor="#000000" strokeweight="0.75pt" o:spt="202" type="#_x0000_t202">
                <v:fill/>
                <v:stroke miterlimit="8" filltype="solid"/>
                <v:textbox style="layout-flow:horizontal;">
                  <w:txbxContent>
                    <w:p>
                      <w:pPr>
                        <w:pStyle w:val="16"/>
                        <w:numPr>
                          <w:ilvl w:val="0"/>
                          <w:numId w:val="7"/>
                        </w:numPr>
                        <w:ind w:leftChars="0" w:firstLineChars="0"/>
                        <w:rPr>
                          <w:rFonts w:hint="default"/>
                        </w:rPr>
                      </w:pPr>
                      <w:r>
                        <w:rPr>
                          <w:rFonts w:hint="default"/>
                        </w:rPr>
                        <w:t>試乗会実績</w:t>
                      </w:r>
                      <w:r>
                        <w:rPr>
                          <w:rFonts w:hint="eastAsia"/>
                        </w:rPr>
                        <w:t>：予約枠に対する予約率は</w:t>
                      </w:r>
                      <w:r>
                        <w:rPr>
                          <w:rFonts w:hint="default"/>
                        </w:rPr>
                        <w:t>96.5%</w:t>
                      </w:r>
                      <w:r>
                        <w:rPr>
                          <w:rFonts w:hint="default"/>
                        </w:rPr>
                        <w:t>、乗車率は</w:t>
                      </w:r>
                      <w:r>
                        <w:rPr>
                          <w:rFonts w:hint="default"/>
                        </w:rPr>
                        <w:t>80.0%</w:t>
                      </w:r>
                      <w:r>
                        <w:rPr>
                          <w:rFonts w:hint="default"/>
                        </w:rPr>
                        <w:t>（</w:t>
                      </w:r>
                      <w:r>
                        <w:rPr>
                          <w:rFonts w:hint="default"/>
                        </w:rPr>
                        <w:t>374</w:t>
                      </w:r>
                      <w:r>
                        <w:rPr>
                          <w:rFonts w:hint="default"/>
                        </w:rPr>
                        <w:t>名参加）と高く、市民の関心の高さ</w:t>
                      </w:r>
                    </w:p>
                    <w:p>
                      <w:pPr>
                        <w:pStyle w:val="0"/>
                        <w:ind w:left="220" w:leftChars="100"/>
                        <w:rPr>
                          <w:rFonts w:hint="default"/>
                        </w:rPr>
                      </w:pPr>
                      <w:r>
                        <w:rPr>
                          <w:rFonts w:hint="default"/>
                        </w:rPr>
                        <w:t>が伺えた</w:t>
                      </w:r>
                      <w:r>
                        <w:rPr>
                          <w:rFonts w:hint="eastAsia"/>
                        </w:rPr>
                        <w:t>。</w:t>
                      </w:r>
                    </w:p>
                    <w:p>
                      <w:pPr>
                        <w:pStyle w:val="16"/>
                        <w:numPr>
                          <w:ilvl w:val="0"/>
                          <w:numId w:val="7"/>
                        </w:numPr>
                        <w:ind w:leftChars="0" w:firstLineChars="0"/>
                        <w:rPr>
                          <w:rFonts w:hint="default"/>
                        </w:rPr>
                      </w:pPr>
                      <w:r>
                        <w:rPr>
                          <w:rFonts w:hint="default"/>
                        </w:rPr>
                        <w:t>安心感・期待</w:t>
                      </w:r>
                      <w:r>
                        <w:rPr>
                          <w:rFonts w:hint="default"/>
                        </w:rPr>
                        <w:t>:</w:t>
                      </w:r>
                      <w:r>
                        <w:rPr>
                          <w:rFonts w:hint="default"/>
                        </w:rPr>
                        <w:t>試乗後アンケート（回答</w:t>
                      </w:r>
                      <w:r>
                        <w:rPr>
                          <w:rFonts w:hint="default"/>
                        </w:rPr>
                        <w:t>150</w:t>
                      </w:r>
                      <w:r>
                        <w:rPr>
                          <w:rFonts w:hint="default"/>
                        </w:rPr>
                        <w:t>名）では約</w:t>
                      </w:r>
                      <w:r>
                        <w:rPr>
                          <w:rFonts w:hint="default"/>
                        </w:rPr>
                        <w:t>7</w:t>
                      </w:r>
                      <w:r>
                        <w:rPr>
                          <w:rFonts w:hint="default"/>
                        </w:rPr>
                        <w:t>割が「とても安心」「安心」と回答した。自動運転に期待することとして「ドライバー不足の解消」が</w:t>
                      </w:r>
                      <w:r>
                        <w:rPr>
                          <w:rFonts w:hint="default"/>
                        </w:rPr>
                        <w:t>75%</w:t>
                      </w:r>
                      <w:r>
                        <w:rPr>
                          <w:rFonts w:hint="default"/>
                        </w:rPr>
                        <w:t>で最も多く、次いで「持続可能な公共交通の実現」が挙げられた</w:t>
                      </w:r>
                      <w:r>
                        <w:rPr>
                          <w:rFonts w:hint="eastAsia"/>
                        </w:rPr>
                        <w:t>。</w:t>
                      </w:r>
                    </w:p>
                    <w:p>
                      <w:pPr>
                        <w:pStyle w:val="16"/>
                        <w:numPr>
                          <w:ilvl w:val="0"/>
                          <w:numId w:val="7"/>
                        </w:numPr>
                        <w:ind w:leftChars="0" w:firstLineChars="0"/>
                        <w:rPr>
                          <w:rFonts w:hint="default"/>
                        </w:rPr>
                      </w:pPr>
                      <w:r>
                        <w:rPr>
                          <w:rFonts w:hint="eastAsia"/>
                        </w:rPr>
                        <w:t>利用意向</w:t>
                      </w:r>
                      <w:r>
                        <w:rPr>
                          <w:rFonts w:hint="default"/>
                        </w:rPr>
                        <w:t>:</w:t>
                      </w:r>
                      <w:r>
                        <w:rPr>
                          <w:rFonts w:hint="default"/>
                        </w:rPr>
                        <w:t>将来的な利用頻度については「年に数回」「月に数回」が多く、日常利用への転換が課題である。ただし、</w:t>
                      </w:r>
                      <w:r>
                        <w:rPr>
                          <w:rFonts w:hint="default"/>
                        </w:rPr>
                        <w:t>10</w:t>
                      </w:r>
                      <w:r>
                        <w:rPr>
                          <w:rFonts w:hint="default"/>
                        </w:rPr>
                        <w:t>代以下では約</w:t>
                      </w:r>
                      <w:r>
                        <w:rPr>
                          <w:rFonts w:hint="default"/>
                        </w:rPr>
                        <w:t>8</w:t>
                      </w:r>
                      <w:r>
                        <w:rPr>
                          <w:rFonts w:hint="default"/>
                        </w:rPr>
                        <w:t>割が「日常的に利用したい」と回答しており、若年層の受容性が高い傾向が見られた</w:t>
                      </w:r>
                    </w:p>
                    <w:p>
                      <w:pPr>
                        <w:pStyle w:val="16"/>
                        <w:numPr>
                          <w:ilvl w:val="0"/>
                          <w:numId w:val="7"/>
                        </w:numPr>
                        <w:ind w:leftChars="0" w:firstLineChars="0"/>
                        <w:rPr>
                          <w:rFonts w:hint="default"/>
                        </w:rPr>
                      </w:pPr>
                      <w:r>
                        <w:rPr>
                          <w:rFonts w:hint="eastAsia"/>
                        </w:rPr>
                        <w:t>自動運転バスの認知：</w:t>
                      </w:r>
                      <w:r>
                        <w:rPr>
                          <w:rFonts w:hint="default"/>
                        </w:rPr>
                        <w:t>市広報誌やチラシが約半数を占め、</w:t>
                      </w:r>
                      <w:r>
                        <w:rPr>
                          <w:rFonts w:hint="default"/>
                        </w:rPr>
                        <w:t>SNS</w:t>
                      </w:r>
                      <w:r>
                        <w:rPr>
                          <w:rFonts w:hint="default"/>
                        </w:rPr>
                        <w:t>や口コミによる認知は若年層や高齢層で効果が見られた</w:t>
                      </w:r>
                      <w:r>
                        <w:rPr>
                          <w:rFonts w:hint="eastAsia"/>
                        </w:rPr>
                        <w:t>。</w:t>
                      </w:r>
                    </w:p>
                    <w:p>
                      <w:pPr>
                        <w:pStyle w:val="16"/>
                        <w:numPr>
                          <w:ilvl w:val="0"/>
                          <w:numId w:val="7"/>
                        </w:numPr>
                        <w:ind w:leftChars="0" w:firstLineChars="0"/>
                        <w:rPr>
                          <w:rFonts w:hint="default"/>
                        </w:rPr>
                      </w:pPr>
                      <w:r>
                        <w:rPr>
                          <w:rFonts w:hint="default"/>
                        </w:rPr>
                        <w:t>今後の展開</w:t>
                      </w:r>
                      <w:r>
                        <w:rPr>
                          <w:rFonts w:hint="default"/>
                        </w:rPr>
                        <w:t>: 2027</w:t>
                      </w:r>
                      <w:r>
                        <w:rPr>
                          <w:rFonts w:hint="default"/>
                        </w:rPr>
                        <w:t>年度の一部区間レベル</w:t>
                      </w:r>
                      <w:r>
                        <w:rPr>
                          <w:rFonts w:hint="default"/>
                        </w:rPr>
                        <w:t>4</w:t>
                      </w:r>
                      <w:r>
                        <w:rPr>
                          <w:rFonts w:hint="default"/>
                        </w:rPr>
                        <w:t>運行、</w:t>
                      </w:r>
                      <w:r>
                        <w:rPr>
                          <w:rFonts w:hint="default"/>
                        </w:rPr>
                        <w:t>2028</w:t>
                      </w:r>
                      <w:r>
                        <w:rPr>
                          <w:rFonts w:hint="default"/>
                        </w:rPr>
                        <w:t>年度の通年運行開始を目指し、継続的な受容性向上施策（試乗会、教育機関との連携等）を実施していく</w:t>
                      </w:r>
                    </w:p>
                  </w:txbxContent>
                </v:textbox>
                <v:imagedata o:title=""/>
                <w10:wrap type="square" side="both" anchorx="margin" anchory="text"/>
              </v:shape>
            </w:pict>
          </mc:Fallback>
        </mc:AlternateContent>
      </w:r>
      <w:r>
        <w:rPr>
          <w:rFonts w:hint="eastAsia"/>
          <w:spacing w:val="-4"/>
        </w:rPr>
        <w:t>■</w:t>
      </w:r>
      <w:commentRangeStart w:id="6"/>
      <w:r>
        <w:rPr>
          <w:rFonts w:hint="eastAsia"/>
          <w:spacing w:val="-4"/>
        </w:rPr>
        <w:t>社会受容性面</w:t>
      </w:r>
      <w:commentRangeEnd w:id="6"/>
      <w:r>
        <w:rPr>
          <w:rFonts w:hint="eastAsia"/>
          <w:spacing w:val="-4"/>
        </w:rPr>
        <w:commentReference w:id="6"/>
      </w:r>
    </w:p>
    <w:sectPr>
      <w:footerReference r:id="rId7" w:type="default"/>
      <w:pgSz w:w="11910" w:h="16840"/>
      <w:pgMar w:top="851" w:right="851" w:bottom="567" w:left="851" w:header="0" w:footer="454" w:gutter="0"/>
      <w:cols w:space="720"/>
      <w:textDirection w:val="lrTb"/>
      <w:docGrid w:linePitch="299"/>
    </w:sectPr>
  </w:body>
</w:document>
</file>

<file path=word/comments.xml><?xml version="1.0" encoding="utf-8"?>
<w:comme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comment w:id="1" w:author="池永　宏成" w:date="2025-02-20T10:14:00Z" w:initials="池永　宏成">
    <w:p w14:paraId="00000001">
      <w:pPr>
        <w:pStyle w:val="38"/>
        <w:ind w:left="0" w:leftChars="0" w:firstLine="0" w:firstLineChars="0"/>
        <w:rPr>
          <w:rFonts w:hint="default"/>
        </w:rPr>
      </w:pPr>
      <w:r>
        <w:rPr>
          <w:rFonts w:hint="default"/>
        </w:rPr>
        <w:t>※</w:t>
      </w:r>
      <w:r>
        <w:rPr>
          <w:rFonts w:hint="default"/>
        </w:rPr>
        <w:t>事業背景と目的について記入してください（</w:t>
      </w:r>
      <w:r>
        <w:rPr>
          <w:rFonts w:hint="default"/>
        </w:rPr>
        <w:t>150</w:t>
      </w:r>
      <w:r>
        <w:rPr>
          <w:rFonts w:hint="default"/>
        </w:rPr>
        <w:t>文字程度）</w:t>
      </w:r>
    </w:p>
  </w:comment>
  <w:comment w:id="2" w:author="池永　宏成" w:date="2025-02-20T10:15:00Z" w:initials="池永　宏成">
    <w:p w14:paraId="00000002">
      <w:pPr>
        <w:pStyle w:val="38"/>
        <w:ind w:left="0" w:leftChars="0" w:firstLine="0" w:firstLineChars="0"/>
        <w:rPr>
          <w:rFonts w:hint="default"/>
        </w:rPr>
      </w:pPr>
      <w:r>
        <w:rPr>
          <w:rFonts w:hint="default"/>
        </w:rPr>
        <w:t>※</w:t>
      </w:r>
      <w:r>
        <w:rPr>
          <w:rFonts w:hint="default"/>
        </w:rPr>
        <w:t>実施した事業内容について記入してください（</w:t>
      </w:r>
      <w:r>
        <w:rPr>
          <w:rFonts w:hint="default"/>
        </w:rPr>
        <w:t>150</w:t>
      </w:r>
      <w:r>
        <w:rPr>
          <w:rFonts w:hint="default"/>
        </w:rPr>
        <w:t>文字程度）</w:t>
      </w:r>
    </w:p>
    <w:p w14:paraId="00000003">
      <w:pPr>
        <w:pStyle w:val="38"/>
        <w:ind w:left="0" w:leftChars="0" w:firstLine="0" w:firstLineChars="0"/>
        <w:rPr>
          <w:rFonts w:hint="default"/>
        </w:rPr>
      </w:pPr>
      <w:r>
        <w:rPr>
          <w:rFonts w:hint="default"/>
        </w:rPr>
        <w:t>※</w:t>
      </w:r>
      <w:r>
        <w:rPr>
          <w:rFonts w:hint="default"/>
        </w:rPr>
        <w:t>運行を実施した場合は、特に運行場所・運行期間・運行車両について記入してください</w:t>
      </w:r>
    </w:p>
  </w:comment>
  <w:comment w:id="3" w:author="池永　宏成" w:date="2025-02-20T10:15:00Z" w:initials="池永　宏成">
    <w:p w14:paraId="00000004">
      <w:pPr>
        <w:pStyle w:val="38"/>
        <w:ind w:left="0" w:leftChars="0" w:firstLine="0" w:firstLineChars="0"/>
        <w:rPr>
          <w:rFonts w:hint="default"/>
        </w:rPr>
      </w:pPr>
      <w:r>
        <w:rPr>
          <w:rFonts w:hint="default"/>
        </w:rPr>
        <w:t>※</w:t>
      </w:r>
      <w:r>
        <w:rPr>
          <w:rFonts w:hint="default"/>
        </w:rPr>
        <w:t>経営面・技術面・社会受容性面の主要な検証項目について、検証方法を記入してください</w:t>
      </w:r>
    </w:p>
    <w:p w14:paraId="00000005">
      <w:pPr>
        <w:pStyle w:val="38"/>
        <w:ind w:left="0" w:leftChars="0" w:firstLine="0" w:firstLineChars="0"/>
        <w:rPr>
          <w:rFonts w:hint="default"/>
        </w:rPr>
      </w:pPr>
      <w:r>
        <w:rPr>
          <w:rFonts w:hint="default"/>
        </w:rPr>
        <w:t>※1</w:t>
      </w:r>
      <w:r>
        <w:rPr>
          <w:rFonts w:hint="default"/>
        </w:rPr>
        <w:t>ページ目に収まる範囲であれば、列の追加・消去は可能です</w:t>
      </w:r>
    </w:p>
  </w:comment>
  <w:comment w:id="4" w:author="池永　宏成" w:date="2025-02-20T10:15:00Z" w:initials="池永　宏成">
    <w:p w14:paraId="00000006">
      <w:pPr>
        <w:pStyle w:val="38"/>
        <w:ind w:left="0" w:leftChars="0" w:firstLine="0" w:firstLineChars="0"/>
        <w:rPr>
          <w:rFonts w:hint="default"/>
        </w:rPr>
      </w:pPr>
      <w:r>
        <w:rPr>
          <w:rFonts w:hint="default"/>
        </w:rPr>
        <w:t>※</w:t>
      </w:r>
      <w:r>
        <w:rPr>
          <w:rFonts w:hint="default"/>
        </w:rPr>
        <w:t>経営面の主要な検証項目について、検証・分析結果を記載してください（</w:t>
      </w:r>
      <w:r>
        <w:rPr>
          <w:rFonts w:hint="default"/>
        </w:rPr>
        <w:t>500</w:t>
      </w:r>
      <w:r>
        <w:rPr>
          <w:rFonts w:hint="default"/>
        </w:rPr>
        <w:t>文字程度）</w:t>
      </w:r>
    </w:p>
  </w:comment>
  <w:comment w:id="5" w:author="池永　宏成" w:date="2025-02-20T10:16:00Z" w:initials="池永　宏成">
    <w:p w14:paraId="00000007">
      <w:pPr>
        <w:pStyle w:val="38"/>
        <w:ind w:left="0" w:leftChars="0" w:firstLine="0" w:firstLineChars="0"/>
        <w:rPr>
          <w:rFonts w:hint="default"/>
        </w:rPr>
      </w:pPr>
      <w:r>
        <w:rPr>
          <w:rFonts w:hint="default"/>
        </w:rPr>
        <w:t>※</w:t>
      </w:r>
      <w:r>
        <w:rPr>
          <w:rFonts w:hint="default"/>
        </w:rPr>
        <w:t>技術面の主要な検証項目について、検証・分析結果を記載してください（</w:t>
      </w:r>
      <w:r>
        <w:rPr>
          <w:rFonts w:hint="default"/>
        </w:rPr>
        <w:t>500</w:t>
      </w:r>
      <w:r>
        <w:rPr>
          <w:rFonts w:hint="default"/>
        </w:rPr>
        <w:t>文字程度）</w:t>
      </w:r>
    </w:p>
  </w:comment>
  <w:comment w:id="6" w:author="池永　宏成" w:date="2025-02-20T10:16:00Z" w:initials="池永　宏成">
    <w:p w14:paraId="00000008">
      <w:pPr>
        <w:pStyle w:val="38"/>
        <w:ind w:left="0" w:leftChars="0" w:firstLine="0" w:firstLineChars="0"/>
        <w:rPr>
          <w:rFonts w:hint="default"/>
        </w:rPr>
      </w:pPr>
      <w:r>
        <w:rPr>
          <w:rFonts w:hint="default"/>
        </w:rPr>
        <w:t>※</w:t>
      </w:r>
      <w:r>
        <w:rPr>
          <w:rFonts w:hint="default"/>
        </w:rPr>
        <w:t>社会受容性面の主要な検証項目について、検証・分析結果を記載してください（</w:t>
      </w:r>
      <w:r>
        <w:rPr>
          <w:rFonts w:hint="default"/>
        </w:rPr>
        <w:t>500</w:t>
      </w:r>
      <w:r>
        <w:rPr>
          <w:rFonts w:hint="default"/>
        </w:rPr>
        <w:t>文字程度）</w:t>
      </w:r>
    </w:p>
  </w:comment>
</w:comments>
</file>

<file path=word/commentsExtended.xml><?xml version="1.0" encoding="utf-8"?>
<w15:commentsEx xmlns:w15="http://schemas.microsoft.com/office/word/2012/wordml" xmlns:mc="http://schemas.openxmlformats.org/markup-compatibility/2006" mc:Ignorable="w15">
  <w15:commentEx w15:paraId="00000001" w15:done="0"/>
  <w15:commentEx w15:paraId="00000003" w15:done="0"/>
  <w15:commentEx w15:paraId="00000005" w15:done="0"/>
  <w15:commentEx w15:paraId="00000006" w15:done="0"/>
  <w15:commentEx w15:paraId="00000007" w15:done="0"/>
  <w15:commentEx w15:paraId="00000008" w15:done="0"/>
</w15:commentsEx>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Wingdings">
    <w:panose1 w:val="00000000000000000000"/>
    <w:charset w:val="02"/>
    <w:family w:val="auto"/>
    <w:notTrueType/>
    <w:pitch w:val="variable"/>
    <w:sig w:usb0="00000000" w:usb1="00000000" w:usb2="00000000" w:usb3="00000000" w:csb0="00000080" w:csb1="00000000"/>
  </w:font>
  <w:font w:name="Arial">
    <w:panose1 w:val="00000000000000000000"/>
    <w:charset w:val="00"/>
    <w:family w:val="swiss"/>
    <w:notTrueType/>
    <w:pitch w:val="variable"/>
    <w:sig w:usb0="00000000" w:usb1="00000000" w:usb2="00000000" w:usb3="00000000" w:csb0="FF000000" w:csb1="00000000"/>
  </w:font>
  <w:font w:name="ＭＳ Ｐ明朝">
    <w:panose1 w:val="00000000000000000000"/>
    <w:charset w:val="80"/>
    <w:family w:val="roman"/>
    <w:notTrueType/>
    <w:pitch w:val="variable"/>
    <w:sig w:usb0="00000000" w:usb1="00000000" w:usb2="00000000" w:usb3="00000000" w:csb0="01008200" w:csb1="00000000"/>
  </w:font>
  <w:font w:name="ＭＳ Ｐゴシック">
    <w:panose1 w:val="00000000000000000000"/>
    <w:charset w:val="80"/>
    <w:family w:val="moder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alibri">
    <w:panose1 w:val="00000000000000000000"/>
    <w:charset w:val="00"/>
    <w:family w:val="swiss"/>
    <w:notTrueType/>
    <w:pitch w:val="variable"/>
    <w:sig w:usb0="00000000" w:usb1="00000000" w:usb2="00000000" w:usb3="00000000" w:csb0="FF000000" w:csb1="00000000"/>
  </w:font>
  <w:font w:name="Cambria">
    <w:panose1 w:val="00000000000000000000"/>
    <w:charset w:val="00"/>
    <w:family w:val="roman"/>
    <w:notTrueType/>
    <w:pitch w:val="variable"/>
    <w:sig w:usb0="00000000" w:usb1="00000000" w:usb2="00000000" w:usb3="00000000" w:csb0="FF000000" w:csb1="00000000"/>
  </w:font>
  <w:font w:name="游明朝">
    <w:panose1 w:val="00000000000000000000"/>
    <w:charset w:val="80"/>
    <w:family w:val="roman"/>
    <w:notTrueType/>
    <w:pitch w:val="variable"/>
    <w:sig w:usb0="00000000" w:usb1="00000000" w:usb2="00000000" w:usb3="00000000" w:csb0="01008200" w:csb1="00000000"/>
  </w:font>
  <w:font w:name="Meiryo UI">
    <w:panose1 w:val="00000000000000000000"/>
    <w:charset w:val="80"/>
    <w:family w:val="modern"/>
    <w:notTrueType/>
    <w:pitch w:val="variable"/>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Ｐ明朝">
    <w:panose1 w:val="00000800000000000000"/>
    <w:charset w:val="80"/>
    <w:family w:val="roman"/>
    <w:notTrueType/>
    <w:pitch w:val="variable"/>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27"/>
      <w:rPr>
        <w:rFonts w:hint="default"/>
      </w:rPr>
    </w:pPr>
    <w:r>
      <w:rPr>
        <w:rFonts w:hint="eastAsia"/>
      </w:rPr>
      <w:t>1</w:t>
    </w:r>
  </w:p>
</w:ftr>
</file>

<file path=word/footer2.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rPr>
        <w:rFonts w:hint="default"/>
      </w:rPr>
    </w:pPr>
    <w:sdt>
      <w:sdtPr>
        <w:rPr>
          <w:rFonts w:hint="default"/>
        </w:rPr>
        <w:id w:val="1630123042"/>
        <w:docPartObj>
          <w:docPartGallery w:val="Page Numbers (Bottom of Page)"/>
          <w:docPartUnique/>
        </w:docPartObj>
      </w:sdtPr>
      <w:sdtEndPr>
        <w:rPr>
          <w:rFonts w:hint="default"/>
        </w:rPr>
      </w:sdtEndPr>
      <w:sdtContent>
        <w:sdt>
          <w:sdtPr>
            <w:rPr>
              <w:rFonts w:hint="default"/>
            </w:rPr>
            <w:id w:val="-737245255"/>
            <w:docPartObj>
              <w:docPartGallery w:val="Page Numbers (Top of Page)"/>
              <w:docPartUnique/>
            </w:docPartObj>
          </w:sdtPr>
          <w:sdtEndPr>
            <w:rPr>
              <w:rFonts w:hint="default"/>
            </w:rPr>
          </w:sdtEndPr>
          <w:sdtContent>
            <w:r>
              <w:rPr>
                <w:rFonts w:hint="default"/>
              </w:rPr>
              <w:t xml:space="preserve"> </w:t>
            </w:r>
            <w:r>
              <w:rPr>
                <w:rFonts w:hint="eastAsia"/>
              </w:rPr>
              <w:fldChar w:fldCharType="begin"/>
            </w:r>
            <w:r>
              <w:rPr>
                <w:rFonts w:hint="eastAsia"/>
              </w:rPr>
              <w:instrText xml:space="preserve">PAGE  \* MERGEFORMAT </w:instrText>
            </w:r>
            <w:r>
              <w:rPr>
                <w:rFonts w:hint="eastAsia"/>
              </w:rPr>
              <w:fldChar w:fldCharType="separate"/>
            </w:r>
            <w:r>
              <w:rPr>
                <w:rFonts w:hint="default"/>
              </w:rPr>
              <w:t>2</w:t>
            </w:r>
            <w:r>
              <w:rPr>
                <w:rFonts w:hint="eastAsia"/>
              </w:rPr>
              <w:fldChar w:fldCharType="end"/>
            </w:r>
          </w:sdtContent>
        </w:sdt>
      </w:sdtContent>
    </w:sdt>
  </w:p>
</w:ftr>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hybridMultilevel"/>
    <w:tmpl w:val="0324E818"/>
    <w:lvl w:ilvl="0" w:tplc="87A0ACE0">
      <w:start w:val="1"/>
      <w:numFmt w:val="upperRoman"/>
      <w:pStyle w:val="1"/>
      <w:lvlText w:val="%1."/>
      <w:lvlJc w:val="left"/>
      <w:pPr>
        <w:ind w:left="420" w:hanging="420"/>
      </w:pPr>
      <w:rPr>
        <w:b w:val="1"/>
        <w:i w:val="0"/>
        <w:caps w:val="0"/>
        <w:smallCaps w:val="0"/>
        <w:strike w:val="0"/>
        <w:dstrike w:val="0"/>
        <w:outline w:val="0"/>
        <w:shadow w:val="0"/>
        <w:emboss w:val="0"/>
        <w:imprint w:val="0"/>
        <w:vanish w:val="0"/>
        <w:spacing w:val="0"/>
        <w:position w:val="0"/>
        <w:u w:val="none" w:color="auto"/>
        <w:vertAlign w:val="baseline"/>
        <w:em w:val="none"/>
        <w14:glow w14:rad="0">
          <w14:srgbClr w14:val="000000"/>
        </w14:glow>
        <w14:shadow w14:blurRad="0" w14:dist="0" w14:dir="0" w14:sx="0" w14:sy="0" w14:kx="0" w14:ky="0" w14:algn="none">
          <w14:srgbClr w14:val="000000"/>
        </w14:shadow>
        <w14:textOutline w14:w="0" w14:cap="rnd" w14:cmpd="sng" w14:algn="ctr">
          <w14:noFill/>
          <w14:prstDash w14:val="solid"/>
          <w14:bevel/>
        </w14:textOutline>
        <w14:props3d w14:extrusionH="0" w14:contourW="0" w14:prstMaterial="none"/>
      </w:rPr>
    </w:lvl>
    <w:lvl w:ilvl="1" w:tplc="93E89134">
      <w:start w:val="1"/>
      <w:numFmt w:val="decimal"/>
      <w:suff w:val="space"/>
      <w:lvlText w:val="%2."/>
      <w:lvlJc w:val="left"/>
      <w:pPr>
        <w:ind w:left="420" w:hanging="420"/>
      </w:pPr>
      <w:rPr>
        <w:rFonts w:hint="default" w:ascii="ＭＳ Ｐ明朝" w:hAnsi="ＭＳ Ｐ明朝" w:eastAsia="ＭＳ Ｐ明朝"/>
        <w:w w:val="100"/>
        <w:sz w:val="22"/>
      </w:rPr>
    </w:lvl>
    <w:lvl w:ilvl="2" w:tplc="F34AE67A">
      <w:numFmt w:val="bullet"/>
      <w:lvlText w:val=""/>
      <w:lvlJc w:val="left"/>
      <w:pPr>
        <w:ind w:left="954" w:hanging="420"/>
      </w:pPr>
      <w:rPr>
        <w:rFonts w:hint="default" w:ascii="Wingdings" w:hAnsi="Wingdings"/>
        <w:w w:val="163"/>
        <w:sz w:val="22"/>
      </w:rPr>
    </w:lvl>
    <w:lvl w:ilvl="3" w:tplc="B8D089A8">
      <w:numFmt w:val="bullet"/>
      <w:lvlText w:val="•"/>
      <w:lvlJc w:val="left"/>
      <w:pPr>
        <w:ind w:left="1978" w:hanging="420"/>
      </w:pPr>
      <w:rPr>
        <w:rFonts w:hint="default"/>
      </w:rPr>
    </w:lvl>
    <w:lvl w:ilvl="4" w:tplc="6C9C3AD4">
      <w:numFmt w:val="bullet"/>
      <w:lvlText w:val="•"/>
      <w:lvlJc w:val="left"/>
      <w:pPr>
        <w:ind w:left="2996" w:hanging="420"/>
      </w:pPr>
      <w:rPr>
        <w:rFonts w:hint="default"/>
      </w:rPr>
    </w:lvl>
    <w:lvl w:ilvl="5" w:tplc="23FC027C">
      <w:numFmt w:val="bullet"/>
      <w:lvlText w:val="•"/>
      <w:lvlJc w:val="left"/>
      <w:pPr>
        <w:ind w:left="4014" w:hanging="420"/>
      </w:pPr>
      <w:rPr>
        <w:rFonts w:hint="default"/>
      </w:rPr>
    </w:lvl>
    <w:lvl w:ilvl="6" w:tplc="CAD8692E">
      <w:numFmt w:val="bullet"/>
      <w:lvlText w:val="•"/>
      <w:lvlJc w:val="left"/>
      <w:pPr>
        <w:ind w:left="5033" w:hanging="420"/>
      </w:pPr>
      <w:rPr>
        <w:rFonts w:hint="default"/>
      </w:rPr>
    </w:lvl>
    <w:lvl w:ilvl="7" w:tplc="A3F44E92">
      <w:numFmt w:val="bullet"/>
      <w:lvlText w:val="•"/>
      <w:lvlJc w:val="left"/>
      <w:pPr>
        <w:ind w:left="6051" w:hanging="420"/>
      </w:pPr>
      <w:rPr>
        <w:rFonts w:hint="default"/>
      </w:rPr>
    </w:lvl>
    <w:lvl w:ilvl="8" w:tplc="92787546">
      <w:numFmt w:val="bullet"/>
      <w:lvlText w:val="•"/>
      <w:lvlJc w:val="left"/>
      <w:pPr>
        <w:ind w:left="7069" w:hanging="420"/>
      </w:pPr>
      <w:rPr>
        <w:rFonts w:hint="default"/>
      </w:rPr>
    </w:lvl>
  </w:abstractNum>
  <w:abstractNum w:abstractNumId="1">
    <w:nsid w:val="00000002"/>
    <w:multiLevelType w:val="hybridMultilevel"/>
    <w:tmpl w:val="FEAE0540"/>
    <w:lvl w:ilvl="0" w:tplc="C1C66D92">
      <w:start w:val="1"/>
      <w:numFmt w:val="decimal"/>
      <w:pStyle w:val="2"/>
      <w:lvlText w:val="%1."/>
      <w:lvlJc w:val="left"/>
      <w:pPr>
        <w:ind w:left="704" w:hanging="420"/>
      </w:pPr>
      <w:rPr>
        <w:b w:val="1"/>
        <w:i w:val="0"/>
        <w:caps w:val="0"/>
        <w:smallCaps w:val="0"/>
        <w:strike w:val="0"/>
        <w:dstrike w:val="0"/>
        <w:outline w:val="0"/>
        <w:shadow w:val="0"/>
        <w:emboss w:val="0"/>
        <w:imprint w:val="0"/>
        <w:vanish w:val="0"/>
        <w:spacing w:val="0"/>
        <w:position w:val="0"/>
        <w:u w:val="none" w:color="auto"/>
        <w:vertAlign w:val="baseline"/>
        <w:em w:val="none"/>
        <w14:glow w14:rad="0">
          <w14:srgbClr w14:val="000000"/>
        </w14:glow>
        <w14:shadow w14:blurRad="0" w14:dist="0" w14:dir="0" w14:sx="0" w14:sy="0" w14:kx="0" w14:ky="0" w14:algn="none">
          <w14:srgbClr w14:val="000000"/>
        </w14:shadow>
        <w14:textOutline w14:w="0" w14:cap="rnd" w14:cmpd="sng" w14:algn="ctr">
          <w14:noFill/>
          <w14:prstDash w14:val="solid"/>
          <w14:bevel/>
        </w14:textOutline>
        <w14:props3d w14:extrusionH="0" w14:contourW="0" w14:prstMaterial="none"/>
      </w:rPr>
    </w:lvl>
    <w:lvl w:ilvl="1" w:tplc="93E89134">
      <w:start w:val="1"/>
      <w:numFmt w:val="decimal"/>
      <w:suff w:val="space"/>
      <w:lvlText w:val="%2."/>
      <w:lvlJc w:val="left"/>
      <w:pPr>
        <w:ind w:left="603" w:hanging="420"/>
      </w:pPr>
      <w:rPr>
        <w:rFonts w:hint="default" w:ascii="ＭＳ Ｐ明朝" w:hAnsi="ＭＳ Ｐ明朝" w:eastAsia="ＭＳ Ｐ明朝"/>
        <w:w w:val="100"/>
        <w:sz w:val="22"/>
      </w:rPr>
    </w:lvl>
    <w:lvl w:ilvl="2" w:tplc="F34AE67A">
      <w:numFmt w:val="bullet"/>
      <w:lvlText w:val=""/>
      <w:lvlJc w:val="left"/>
      <w:pPr>
        <w:ind w:left="1137" w:hanging="420"/>
      </w:pPr>
      <w:rPr>
        <w:rFonts w:hint="default" w:ascii="Wingdings" w:hAnsi="Wingdings"/>
        <w:w w:val="163"/>
        <w:sz w:val="22"/>
      </w:rPr>
    </w:lvl>
    <w:lvl w:ilvl="3" w:tplc="B8D089A8">
      <w:numFmt w:val="bullet"/>
      <w:lvlText w:val="•"/>
      <w:lvlJc w:val="left"/>
      <w:pPr>
        <w:ind w:left="2161" w:hanging="420"/>
      </w:pPr>
      <w:rPr>
        <w:rFonts w:hint="default"/>
      </w:rPr>
    </w:lvl>
    <w:lvl w:ilvl="4" w:tplc="6C9C3AD4">
      <w:numFmt w:val="bullet"/>
      <w:lvlText w:val="•"/>
      <w:lvlJc w:val="left"/>
      <w:pPr>
        <w:ind w:left="3179" w:hanging="420"/>
      </w:pPr>
      <w:rPr>
        <w:rFonts w:hint="default"/>
      </w:rPr>
    </w:lvl>
    <w:lvl w:ilvl="5" w:tplc="23FC027C">
      <w:numFmt w:val="bullet"/>
      <w:lvlText w:val="•"/>
      <w:lvlJc w:val="left"/>
      <w:pPr>
        <w:ind w:left="4197" w:hanging="420"/>
      </w:pPr>
      <w:rPr>
        <w:rFonts w:hint="default"/>
      </w:rPr>
    </w:lvl>
    <w:lvl w:ilvl="6" w:tplc="CAD8692E">
      <w:numFmt w:val="bullet"/>
      <w:lvlText w:val="•"/>
      <w:lvlJc w:val="left"/>
      <w:pPr>
        <w:ind w:left="5216" w:hanging="420"/>
      </w:pPr>
      <w:rPr>
        <w:rFonts w:hint="default"/>
      </w:rPr>
    </w:lvl>
    <w:lvl w:ilvl="7" w:tplc="A3F44E92">
      <w:numFmt w:val="bullet"/>
      <w:lvlText w:val="•"/>
      <w:lvlJc w:val="left"/>
      <w:pPr>
        <w:ind w:left="6234" w:hanging="420"/>
      </w:pPr>
      <w:rPr>
        <w:rFonts w:hint="default"/>
      </w:rPr>
    </w:lvl>
    <w:lvl w:ilvl="8" w:tplc="92787546">
      <w:numFmt w:val="bullet"/>
      <w:lvlText w:val="•"/>
      <w:lvlJc w:val="left"/>
      <w:pPr>
        <w:ind w:left="7252" w:hanging="420"/>
      </w:pPr>
      <w:rPr>
        <w:rFonts w:hint="default"/>
      </w:rPr>
    </w:lvl>
  </w:abstractNum>
  <w:abstractNum w:abstractNumId="2">
    <w:nsid w:val="00000003"/>
    <w:multiLevelType w:val="hybridMultilevel"/>
    <w:tmpl w:val="E75E81F2"/>
    <w:lvl w:ilvl="0" w:tplc="A268E6EE">
      <w:start w:val="1"/>
      <w:numFmt w:val="decimalFullWidth"/>
      <w:pStyle w:val="3"/>
      <w:lvlText w:val="（%1）"/>
      <w:lvlJc w:val="left"/>
      <w:pPr>
        <w:ind w:left="640" w:hanging="420"/>
      </w:pPr>
      <w:rPr>
        <w:rFonts w:hint="default"/>
        <w:b w:val="1"/>
      </w:rPr>
    </w:lvl>
    <w:lvl w:ilvl="1" w:tplc="04090017">
      <w:start w:val="1"/>
      <w:numFmt w:val="aiueoFullWidth"/>
      <w:lvlText w:val="(%2)"/>
      <w:lvlJc w:val="left"/>
      <w:pPr>
        <w:ind w:left="1060" w:hanging="420"/>
      </w:pPr>
    </w:lvl>
    <w:lvl w:ilvl="2" w:tplc="04090011">
      <w:start w:val="1"/>
      <w:numFmt w:val="decimalEnclosedCircle"/>
      <w:lvlText w:val="%3"/>
      <w:lvlJc w:val="left"/>
      <w:pPr>
        <w:ind w:left="1480" w:hanging="420"/>
      </w:pPr>
    </w:lvl>
    <w:lvl w:ilvl="3" w:tplc="0409000F">
      <w:start w:val="1"/>
      <w:numFmt w:val="decimal"/>
      <w:lvlText w:val="%4."/>
      <w:lvlJc w:val="left"/>
      <w:pPr>
        <w:ind w:left="1900" w:hanging="420"/>
      </w:pPr>
    </w:lvl>
    <w:lvl w:ilvl="4" w:tplc="04090017">
      <w:start w:val="1"/>
      <w:numFmt w:val="aiueoFullWidth"/>
      <w:lvlText w:val="(%5)"/>
      <w:lvlJc w:val="left"/>
      <w:pPr>
        <w:ind w:left="2320" w:hanging="420"/>
      </w:pPr>
    </w:lvl>
    <w:lvl w:ilvl="5" w:tplc="04090011">
      <w:start w:val="1"/>
      <w:numFmt w:val="decimalEnclosedCircle"/>
      <w:lvlText w:val="%6"/>
      <w:lvlJc w:val="left"/>
      <w:pPr>
        <w:ind w:left="2740" w:hanging="420"/>
      </w:pPr>
    </w:lvl>
    <w:lvl w:ilvl="6" w:tplc="0409000F">
      <w:start w:val="1"/>
      <w:numFmt w:val="decimal"/>
      <w:lvlText w:val="%7."/>
      <w:lvlJc w:val="left"/>
      <w:pPr>
        <w:ind w:left="3160" w:hanging="420"/>
      </w:pPr>
    </w:lvl>
    <w:lvl w:ilvl="7" w:tplc="04090017">
      <w:start w:val="1"/>
      <w:numFmt w:val="aiueoFullWidth"/>
      <w:lvlText w:val="(%8)"/>
      <w:lvlJc w:val="left"/>
      <w:pPr>
        <w:ind w:left="3580" w:hanging="420"/>
      </w:pPr>
    </w:lvl>
    <w:lvl w:ilvl="8" w:tplc="04090011">
      <w:start w:val="1"/>
      <w:numFmt w:val="decimalEnclosedCircle"/>
      <w:lvlText w:val="%9"/>
      <w:lvlJc w:val="left"/>
      <w:pPr>
        <w:ind w:left="4000" w:hanging="420"/>
      </w:pPr>
    </w:lvl>
  </w:abstractNum>
  <w:abstractNum w:abstractNumId="3">
    <w:nsid w:val="00000004"/>
    <w:multiLevelType w:val="hybridMultilevel"/>
    <w:tmpl w:val="3F30A27A"/>
    <w:lvl w:ilvl="0" w:tplc="8A7AD4DA">
      <w:numFmt w:val="bullet"/>
      <w:pStyle w:val="53"/>
      <w:lvlText w:val="•"/>
      <w:lvlJc w:val="left"/>
      <w:pPr>
        <w:ind w:left="640" w:hanging="420"/>
      </w:pPr>
      <w:rPr>
        <w:rFonts w:hint="default" w:ascii="Arial" w:hAnsi="Arial"/>
        <w:spacing w:val="-55"/>
        <w:w w:val="100"/>
        <w:sz w:val="20"/>
      </w:rPr>
    </w:lvl>
    <w:lvl w:ilvl="1" w:tplc="0409000B">
      <w:numFmt w:val="bullet"/>
      <w:lvlText w:val=""/>
      <w:lvlJc w:val="left"/>
      <w:pPr>
        <w:ind w:left="1060" w:hanging="420"/>
      </w:pPr>
      <w:rPr>
        <w:rFonts w:hint="default" w:ascii="Wingdings" w:hAnsi="Wingdings"/>
      </w:rPr>
    </w:lvl>
    <w:lvl w:ilvl="2" w:tplc="0409000D">
      <w:numFmt w:val="bullet"/>
      <w:lvlText w:val=""/>
      <w:lvlJc w:val="left"/>
      <w:pPr>
        <w:ind w:left="1480" w:hanging="420"/>
      </w:pPr>
      <w:rPr>
        <w:rFonts w:hint="default" w:ascii="Wingdings" w:hAnsi="Wingdings"/>
      </w:rPr>
    </w:lvl>
    <w:lvl w:ilvl="3" w:tplc="04090001">
      <w:numFmt w:val="bullet"/>
      <w:lvlText w:val=""/>
      <w:lvlJc w:val="left"/>
      <w:pPr>
        <w:ind w:left="1900" w:hanging="420"/>
      </w:pPr>
      <w:rPr>
        <w:rFonts w:hint="default" w:ascii="Wingdings" w:hAnsi="Wingdings"/>
      </w:rPr>
    </w:lvl>
    <w:lvl w:ilvl="4" w:tplc="0409000B">
      <w:numFmt w:val="bullet"/>
      <w:lvlText w:val=""/>
      <w:lvlJc w:val="left"/>
      <w:pPr>
        <w:ind w:left="2320" w:hanging="420"/>
      </w:pPr>
      <w:rPr>
        <w:rFonts w:hint="default" w:ascii="Wingdings" w:hAnsi="Wingdings"/>
      </w:rPr>
    </w:lvl>
    <w:lvl w:ilvl="5" w:tplc="0409000D">
      <w:numFmt w:val="bullet"/>
      <w:lvlText w:val=""/>
      <w:lvlJc w:val="left"/>
      <w:pPr>
        <w:ind w:left="2740" w:hanging="420"/>
      </w:pPr>
      <w:rPr>
        <w:rFonts w:hint="default" w:ascii="Wingdings" w:hAnsi="Wingdings"/>
      </w:rPr>
    </w:lvl>
    <w:lvl w:ilvl="6" w:tplc="04090001">
      <w:numFmt w:val="bullet"/>
      <w:lvlText w:val=""/>
      <w:lvlJc w:val="left"/>
      <w:pPr>
        <w:ind w:left="3160" w:hanging="420"/>
      </w:pPr>
      <w:rPr>
        <w:rFonts w:hint="default" w:ascii="Wingdings" w:hAnsi="Wingdings"/>
      </w:rPr>
    </w:lvl>
    <w:lvl w:ilvl="7" w:tplc="0409000B">
      <w:numFmt w:val="bullet"/>
      <w:lvlText w:val=""/>
      <w:lvlJc w:val="left"/>
      <w:pPr>
        <w:ind w:left="3580" w:hanging="420"/>
      </w:pPr>
      <w:rPr>
        <w:rFonts w:hint="default" w:ascii="Wingdings" w:hAnsi="Wingdings"/>
      </w:rPr>
    </w:lvl>
    <w:lvl w:ilvl="8" w:tplc="0409000D">
      <w:numFmt w:val="bullet"/>
      <w:lvlText w:val=""/>
      <w:lvlJc w:val="left"/>
      <w:pPr>
        <w:ind w:left="4000" w:hanging="420"/>
      </w:pPr>
      <w:rPr>
        <w:rFonts w:hint="default" w:ascii="Wingdings" w:hAnsi="Wingdings"/>
      </w:rPr>
    </w:lvl>
  </w:abstractNum>
  <w:abstractNum w:abstractNumId="4">
    <w:nsid w:val="00000005"/>
    <w:multiLevelType w:val="hybridMultilevel"/>
    <w:tmpl w:val="3C4C8FFC"/>
    <w:lvl w:ilvl="0" w:tplc="B20AB26E">
      <w:numFmt w:val="bullet"/>
      <w:lvlText w:val=""/>
      <w:lvlJc w:val="left"/>
      <w:pPr>
        <w:ind w:left="420" w:hanging="420"/>
      </w:pPr>
      <w:rPr>
        <w:rFonts w:hint="default" w:ascii="Wingdings" w:hAnsi="Wingdings"/>
      </w:rPr>
    </w:lvl>
    <w:lvl w:ilvl="1" w:tplc="0409000B">
      <w:numFmt w:val="bullet"/>
      <w:lvlText w:val=""/>
      <w:lvlJc w:val="left"/>
      <w:pPr>
        <w:ind w:left="840" w:hanging="420"/>
      </w:pPr>
      <w:rPr>
        <w:rFonts w:hint="default" w:ascii="Wingdings" w:hAnsi="Wingdings"/>
      </w:rPr>
    </w:lvl>
    <w:lvl w:ilvl="2" w:tplc="0409000D">
      <w:numFmt w:val="bullet"/>
      <w:lvlText w:val=""/>
      <w:lvlJc w:val="left"/>
      <w:pPr>
        <w:ind w:left="1260" w:hanging="420"/>
      </w:pPr>
      <w:rPr>
        <w:rFonts w:hint="default" w:ascii="Wingdings" w:hAnsi="Wingdings"/>
      </w:rPr>
    </w:lvl>
    <w:lvl w:ilvl="3" w:tplc="04090001">
      <w:numFmt w:val="bullet"/>
      <w:lvlText w:val=""/>
      <w:lvlJc w:val="left"/>
      <w:pPr>
        <w:ind w:left="1680" w:hanging="420"/>
      </w:pPr>
      <w:rPr>
        <w:rFonts w:hint="default" w:ascii="Wingdings" w:hAnsi="Wingdings"/>
      </w:rPr>
    </w:lvl>
    <w:lvl w:ilvl="4" w:tplc="0409000B">
      <w:numFmt w:val="bullet"/>
      <w:lvlText w:val=""/>
      <w:lvlJc w:val="left"/>
      <w:pPr>
        <w:ind w:left="2100" w:hanging="420"/>
      </w:pPr>
      <w:rPr>
        <w:rFonts w:hint="default" w:ascii="Wingdings" w:hAnsi="Wingdings"/>
      </w:rPr>
    </w:lvl>
    <w:lvl w:ilvl="5" w:tplc="0409000D">
      <w:numFmt w:val="bullet"/>
      <w:lvlText w:val=""/>
      <w:lvlJc w:val="left"/>
      <w:pPr>
        <w:ind w:left="2520" w:hanging="420"/>
      </w:pPr>
      <w:rPr>
        <w:rFonts w:hint="default" w:ascii="Wingdings" w:hAnsi="Wingdings"/>
      </w:rPr>
    </w:lvl>
    <w:lvl w:ilvl="6" w:tplc="04090001">
      <w:numFmt w:val="bullet"/>
      <w:lvlText w:val=""/>
      <w:lvlJc w:val="left"/>
      <w:pPr>
        <w:ind w:left="2940" w:hanging="420"/>
      </w:pPr>
      <w:rPr>
        <w:rFonts w:hint="default" w:ascii="Wingdings" w:hAnsi="Wingdings"/>
      </w:rPr>
    </w:lvl>
    <w:lvl w:ilvl="7" w:tplc="0409000B">
      <w:numFmt w:val="bullet"/>
      <w:lvlText w:val=""/>
      <w:lvlJc w:val="left"/>
      <w:pPr>
        <w:ind w:left="3360" w:hanging="420"/>
      </w:pPr>
      <w:rPr>
        <w:rFonts w:hint="default" w:ascii="Wingdings" w:hAnsi="Wingdings"/>
      </w:rPr>
    </w:lvl>
    <w:lvl w:ilvl="8" w:tplc="0409000D">
      <w:numFmt w:val="bullet"/>
      <w:lvlText w:val=""/>
      <w:lvlJc w:val="left"/>
      <w:pPr>
        <w:ind w:left="3780" w:hanging="420"/>
      </w:pPr>
      <w:rPr>
        <w:rFonts w:hint="default" w:ascii="Wingdings" w:hAnsi="Wingdings"/>
      </w:rPr>
    </w:lvl>
  </w:abstractNum>
  <w:abstractNum w:abstractNumId="5">
    <w:nsid w:val="00000006"/>
    <w:multiLevelType w:val="hybridMultilevel"/>
    <w:tmpl w:val="8D3CD140"/>
    <w:lvl w:ilvl="0" w:tplc="B20AB26E">
      <w:numFmt w:val="bullet"/>
      <w:lvlText w:val=""/>
      <w:lvlJc w:val="left"/>
      <w:pPr>
        <w:ind w:left="440" w:hanging="440"/>
      </w:pPr>
      <w:rPr>
        <w:rFonts w:hint="default" w:ascii="Wingdings" w:hAnsi="Wingdings"/>
      </w:rPr>
    </w:lvl>
    <w:lvl w:ilvl="1" w:tplc="0409000B">
      <w:numFmt w:val="bullet"/>
      <w:lvlText w:val=""/>
      <w:lvlJc w:val="left"/>
      <w:pPr>
        <w:ind w:left="880" w:hanging="440"/>
      </w:pPr>
      <w:rPr>
        <w:rFonts w:hint="default" w:ascii="Wingdings" w:hAnsi="Wingdings"/>
      </w:rPr>
    </w:lvl>
    <w:lvl w:ilvl="2" w:tplc="0409000D">
      <w:numFmt w:val="bullet"/>
      <w:lvlText w:val=""/>
      <w:lvlJc w:val="left"/>
      <w:pPr>
        <w:ind w:left="1320" w:hanging="440"/>
      </w:pPr>
      <w:rPr>
        <w:rFonts w:hint="default" w:ascii="Wingdings" w:hAnsi="Wingdings"/>
      </w:rPr>
    </w:lvl>
    <w:lvl w:ilvl="3" w:tplc="04090001">
      <w:numFmt w:val="bullet"/>
      <w:lvlText w:val=""/>
      <w:lvlJc w:val="left"/>
      <w:pPr>
        <w:ind w:left="1760" w:hanging="440"/>
      </w:pPr>
      <w:rPr>
        <w:rFonts w:hint="default" w:ascii="Wingdings" w:hAnsi="Wingdings"/>
      </w:rPr>
    </w:lvl>
    <w:lvl w:ilvl="4" w:tplc="0409000B">
      <w:numFmt w:val="bullet"/>
      <w:lvlText w:val=""/>
      <w:lvlJc w:val="left"/>
      <w:pPr>
        <w:ind w:left="2200" w:hanging="440"/>
      </w:pPr>
      <w:rPr>
        <w:rFonts w:hint="default" w:ascii="Wingdings" w:hAnsi="Wingdings"/>
      </w:rPr>
    </w:lvl>
    <w:lvl w:ilvl="5" w:tplc="0409000D">
      <w:numFmt w:val="bullet"/>
      <w:lvlText w:val=""/>
      <w:lvlJc w:val="left"/>
      <w:pPr>
        <w:ind w:left="2640" w:hanging="440"/>
      </w:pPr>
      <w:rPr>
        <w:rFonts w:hint="default" w:ascii="Wingdings" w:hAnsi="Wingdings"/>
      </w:rPr>
    </w:lvl>
    <w:lvl w:ilvl="6" w:tplc="04090001">
      <w:numFmt w:val="bullet"/>
      <w:lvlText w:val=""/>
      <w:lvlJc w:val="left"/>
      <w:pPr>
        <w:ind w:left="3080" w:hanging="440"/>
      </w:pPr>
      <w:rPr>
        <w:rFonts w:hint="default" w:ascii="Wingdings" w:hAnsi="Wingdings"/>
      </w:rPr>
    </w:lvl>
    <w:lvl w:ilvl="7" w:tplc="0409000B">
      <w:numFmt w:val="bullet"/>
      <w:lvlText w:val=""/>
      <w:lvlJc w:val="left"/>
      <w:pPr>
        <w:ind w:left="3520" w:hanging="440"/>
      </w:pPr>
      <w:rPr>
        <w:rFonts w:hint="default" w:ascii="Wingdings" w:hAnsi="Wingdings"/>
      </w:rPr>
    </w:lvl>
    <w:lvl w:ilvl="8" w:tplc="0409000D">
      <w:numFmt w:val="bullet"/>
      <w:lvlText w:val=""/>
      <w:lvlJc w:val="left"/>
      <w:pPr>
        <w:ind w:left="3960" w:hanging="440"/>
      </w:pPr>
      <w:rPr>
        <w:rFonts w:hint="default" w:ascii="Wingdings" w:hAnsi="Wingdings"/>
      </w:rPr>
    </w:lvl>
  </w:abstractNum>
  <w:abstractNum w:abstractNumId="6">
    <w:nsid w:val="00000007"/>
    <w:multiLevelType w:val="hybridMultilevel"/>
    <w:tmpl w:val="9CF4E548"/>
    <w:lvl w:ilvl="0" w:tplc="B20AB26E">
      <w:numFmt w:val="bullet"/>
      <w:lvlText w:val=""/>
      <w:lvlJc w:val="left"/>
      <w:pPr>
        <w:ind w:left="420" w:hanging="420"/>
      </w:pPr>
      <w:rPr>
        <w:rFonts w:hint="default" w:ascii="Wingdings" w:hAnsi="Wingdings"/>
      </w:rPr>
    </w:lvl>
    <w:lvl w:ilvl="1" w:tplc="0409000B">
      <w:numFmt w:val="bullet"/>
      <w:lvlText w:val=""/>
      <w:lvlJc w:val="left"/>
      <w:pPr>
        <w:ind w:left="840" w:hanging="420"/>
      </w:pPr>
      <w:rPr>
        <w:rFonts w:hint="default" w:ascii="Wingdings" w:hAnsi="Wingdings"/>
      </w:rPr>
    </w:lvl>
    <w:lvl w:ilvl="2" w:tplc="0409000D">
      <w:numFmt w:val="bullet"/>
      <w:lvlText w:val=""/>
      <w:lvlJc w:val="left"/>
      <w:pPr>
        <w:ind w:left="1260" w:hanging="420"/>
      </w:pPr>
      <w:rPr>
        <w:rFonts w:hint="default" w:ascii="Wingdings" w:hAnsi="Wingdings"/>
      </w:rPr>
    </w:lvl>
    <w:lvl w:ilvl="3" w:tplc="04090001">
      <w:numFmt w:val="bullet"/>
      <w:lvlText w:val=""/>
      <w:lvlJc w:val="left"/>
      <w:pPr>
        <w:ind w:left="1680" w:hanging="420"/>
      </w:pPr>
      <w:rPr>
        <w:rFonts w:hint="default" w:ascii="Wingdings" w:hAnsi="Wingdings"/>
      </w:rPr>
    </w:lvl>
    <w:lvl w:ilvl="4" w:tplc="0409000B">
      <w:numFmt w:val="bullet"/>
      <w:lvlText w:val=""/>
      <w:lvlJc w:val="left"/>
      <w:pPr>
        <w:ind w:left="2100" w:hanging="420"/>
      </w:pPr>
      <w:rPr>
        <w:rFonts w:hint="default" w:ascii="Wingdings" w:hAnsi="Wingdings"/>
      </w:rPr>
    </w:lvl>
    <w:lvl w:ilvl="5" w:tplc="0409000D">
      <w:numFmt w:val="bullet"/>
      <w:lvlText w:val=""/>
      <w:lvlJc w:val="left"/>
      <w:pPr>
        <w:ind w:left="2520" w:hanging="420"/>
      </w:pPr>
      <w:rPr>
        <w:rFonts w:hint="default" w:ascii="Wingdings" w:hAnsi="Wingdings"/>
      </w:rPr>
    </w:lvl>
    <w:lvl w:ilvl="6" w:tplc="04090001">
      <w:numFmt w:val="bullet"/>
      <w:lvlText w:val=""/>
      <w:lvlJc w:val="left"/>
      <w:pPr>
        <w:ind w:left="2940" w:hanging="420"/>
      </w:pPr>
      <w:rPr>
        <w:rFonts w:hint="default" w:ascii="Wingdings" w:hAnsi="Wingdings"/>
      </w:rPr>
    </w:lvl>
    <w:lvl w:ilvl="7" w:tplc="0409000B">
      <w:numFmt w:val="bullet"/>
      <w:lvlText w:val=""/>
      <w:lvlJc w:val="left"/>
      <w:pPr>
        <w:ind w:left="3360" w:hanging="420"/>
      </w:pPr>
      <w:rPr>
        <w:rFonts w:hint="default" w:ascii="Wingdings" w:hAnsi="Wingdings"/>
      </w:rPr>
    </w:lvl>
    <w:lvl w:ilvl="8" w:tplc="0409000D">
      <w:numFmt w:val="bullet"/>
      <w:lvlText w:val=""/>
      <w:lvlJc w:val="left"/>
      <w:pPr>
        <w:ind w:left="3780" w:hanging="420"/>
      </w:pPr>
      <w:rPr>
        <w:rFonts w:hint="default" w:ascii="Wingdings" w:hAnsi="Wingdings"/>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719"/>
  <w:drawingGridHorizontalSpacing w:val="110"/>
  <w:displayHorizontalDrawingGridEvery w:val="2"/>
  <w:hdrShapeDefaults>
    <o:shapelayout v:ext="edit"/>
  </w:hdrShapeDefaults>
  <w:compat>
    <w:spaceForUL/>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sz w:val="22"/>
      </w:rPr>
    </w:rPrDefault>
    <w:pPrDefault/>
  </w:docDefaults>
  <w:style w:type="paragraph" w:styleId="0" w:default="1">
    <w:name w:val="Normal"/>
    <w:next w:val="0"/>
    <w:link w:val="0"/>
    <w:uiPriority w:val="0"/>
    <w:qFormat/>
    <w:pPr>
      <w:ind w:left="284" w:leftChars="129" w:firstLine="220" w:firstLineChars="100"/>
    </w:pPr>
    <w:rPr>
      <w:rFonts w:ascii="ＭＳ Ｐ明朝" w:hAnsi="ＭＳ Ｐ明朝" w:eastAsia="ＭＳ Ｐ明朝"/>
    </w:rPr>
  </w:style>
  <w:style w:type="paragraph" w:styleId="1">
    <w:name w:val="heading 1"/>
    <w:basedOn w:val="0"/>
    <w:next w:val="1"/>
    <w:link w:val="0"/>
    <w:uiPriority w:val="0"/>
    <w:qFormat/>
    <w:pPr>
      <w:numPr>
        <w:ilvl w:val="0"/>
        <w:numId w:val="1"/>
      </w:numPr>
      <w:spacing w:after="299" w:afterLines="100" w:afterAutospacing="0"/>
      <w:ind w:left="0" w:leftChars="0" w:firstLine="261"/>
      <w:outlineLvl w:val="0"/>
    </w:pPr>
    <w:rPr>
      <w:b w:val="1"/>
      <w:sz w:val="26"/>
    </w:rPr>
  </w:style>
  <w:style w:type="paragraph" w:styleId="2">
    <w:name w:val="heading 2"/>
    <w:basedOn w:val="0"/>
    <w:next w:val="0"/>
    <w:link w:val="36"/>
    <w:uiPriority w:val="0"/>
    <w:qFormat/>
    <w:pPr>
      <w:keepNext w:val="1"/>
      <w:numPr>
        <w:ilvl w:val="0"/>
        <w:numId w:val="2"/>
      </w:numPr>
      <w:spacing w:after="149" w:afterLines="50" w:afterAutospacing="0"/>
      <w:ind w:left="0" w:leftChars="0" w:firstLine="260"/>
      <w:outlineLvl w:val="1"/>
    </w:pPr>
    <w:rPr>
      <w:sz w:val="26"/>
    </w:rPr>
  </w:style>
  <w:style w:type="paragraph" w:styleId="3">
    <w:name w:val="heading 3"/>
    <w:basedOn w:val="0"/>
    <w:next w:val="0"/>
    <w:link w:val="30"/>
    <w:uiPriority w:val="0"/>
    <w:qFormat/>
    <w:pPr>
      <w:keepNext w:val="1"/>
      <w:numPr>
        <w:ilvl w:val="0"/>
        <w:numId w:val="3"/>
      </w:numPr>
      <w:spacing w:after="149" w:afterLines="50" w:afterAutospacing="0"/>
      <w:outlineLvl w:val="2"/>
    </w:pPr>
    <w:rPr>
      <w:rFonts w:asciiTheme="majorHAnsi" w:hAnsiTheme="majorHAnsi" w:eastAsiaTheme="majorEastAsia"/>
      <w:sz w:val="24"/>
    </w:rPr>
  </w:style>
  <w:style w:type="paragraph" w:styleId="4">
    <w:name w:val="heading 4"/>
    <w:basedOn w:val="0"/>
    <w:next w:val="0"/>
    <w:link w:val="31"/>
    <w:uiPriority w:val="0"/>
    <w:qFormat/>
    <w:pPr>
      <w:keepNext w:val="1"/>
      <w:ind w:left="400" w:leftChars="400"/>
      <w:outlineLvl w:val="3"/>
    </w:pPr>
    <w:rPr>
      <w:b w:val="1"/>
    </w:rPr>
  </w:style>
  <w:style w:type="paragraph" w:styleId="5">
    <w:name w:val="heading 5"/>
    <w:basedOn w:val="0"/>
    <w:next w:val="0"/>
    <w:link w:val="29"/>
    <w:uiPriority w:val="0"/>
    <w:qFormat/>
    <w:pPr>
      <w:keepNext w:val="1"/>
      <w:ind w:left="800" w:leftChars="800"/>
      <w:outlineLvl w:val="4"/>
    </w:pPr>
    <w:rPr>
      <w:rFonts w:asciiTheme="majorHAnsi" w:hAnsiTheme="majorHAnsi" w:eastAsiaTheme="majorEastAsia"/>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ody Text"/>
    <w:basedOn w:val="0"/>
    <w:next w:val="15"/>
    <w:link w:val="18"/>
    <w:uiPriority w:val="0"/>
    <w:qFormat/>
    <w:pPr>
      <w:snapToGrid w:val="0"/>
      <w:spacing w:after="59" w:afterLines="20" w:afterAutospacing="0"/>
      <w:ind w:left="220" w:leftChars="100"/>
      <w:jc w:val="both"/>
    </w:pPr>
    <w:rPr>
      <w:rFonts w:ascii="游明朝" w:hAnsi="游明朝" w:eastAsia="游明朝"/>
      <w:spacing w:val="-4"/>
    </w:rPr>
  </w:style>
  <w:style w:type="paragraph" w:styleId="16">
    <w:name w:val="List Paragraph"/>
    <w:basedOn w:val="0"/>
    <w:next w:val="16"/>
    <w:link w:val="54"/>
    <w:uiPriority w:val="0"/>
    <w:qFormat/>
    <w:pPr>
      <w:ind w:left="522" w:hanging="420"/>
    </w:pPr>
  </w:style>
  <w:style w:type="paragraph" w:styleId="17" w:customStyle="1">
    <w:name w:val="Table Paragraph"/>
    <w:basedOn w:val="0"/>
    <w:next w:val="17"/>
    <w:link w:val="0"/>
    <w:uiPriority w:val="0"/>
    <w:qFormat/>
    <w:pPr>
      <w:spacing w:before="39" w:beforeLines="0" w:beforeAutospacing="0"/>
      <w:ind w:left="98"/>
    </w:pPr>
  </w:style>
  <w:style w:type="character" w:styleId="18" w:customStyle="1">
    <w:name w:val="本文 (文字)"/>
    <w:basedOn w:val="10"/>
    <w:next w:val="18"/>
    <w:link w:val="15"/>
    <w:uiPriority w:val="0"/>
    <w:rPr>
      <w:rFonts w:ascii="游明朝" w:hAnsi="游明朝" w:eastAsia="游明朝"/>
      <w:spacing w:val="-4"/>
    </w:rPr>
  </w:style>
  <w:style w:type="paragraph" w:styleId="19">
    <w:name w:val="Balloon Text"/>
    <w:basedOn w:val="0"/>
    <w:next w:val="19"/>
    <w:link w:val="20"/>
    <w:uiPriority w:val="0"/>
    <w:semiHidden/>
    <w:rPr>
      <w:rFonts w:asciiTheme="majorHAnsi" w:hAnsiTheme="majorHAnsi" w:eastAsiaTheme="majorEastAsia"/>
      <w:sz w:val="18"/>
    </w:rPr>
  </w:style>
  <w:style w:type="character" w:styleId="20" w:customStyle="1">
    <w:name w:val="吹き出し (文字)"/>
    <w:basedOn w:val="10"/>
    <w:next w:val="20"/>
    <w:link w:val="19"/>
    <w:uiPriority w:val="0"/>
    <w:rPr>
      <w:rFonts w:asciiTheme="majorHAnsi" w:hAnsiTheme="majorHAnsi" w:eastAsiaTheme="majorEastAsia"/>
      <w:sz w:val="18"/>
    </w:rPr>
  </w:style>
  <w:style w:type="paragraph" w:styleId="21">
    <w:name w:val="Closing"/>
    <w:basedOn w:val="0"/>
    <w:next w:val="21"/>
    <w:link w:val="22"/>
    <w:uiPriority w:val="0"/>
    <w:pPr>
      <w:widowControl w:val="1"/>
      <w:autoSpaceDE w:val="1"/>
      <w:autoSpaceDN w:val="1"/>
      <w:spacing w:after="160" w:afterLines="0" w:afterAutospacing="0" w:line="259" w:lineRule="auto"/>
      <w:jc w:val="right"/>
    </w:pPr>
    <w:rPr>
      <w:rFonts w:ascii="Meiryo UI" w:hAnsi="Meiryo UI" w:eastAsia="Meiryo UI"/>
    </w:rPr>
  </w:style>
  <w:style w:type="character" w:styleId="22" w:customStyle="1">
    <w:name w:val="結語 (文字)"/>
    <w:basedOn w:val="10"/>
    <w:next w:val="22"/>
    <w:link w:val="21"/>
    <w:uiPriority w:val="0"/>
    <w:rPr>
      <w:rFonts w:ascii="Meiryo UI" w:hAnsi="Meiryo UI" w:eastAsia="Meiryo UI"/>
    </w:rPr>
  </w:style>
  <w:style w:type="character" w:styleId="23">
    <w:name w:val="Hyperlink"/>
    <w:basedOn w:val="10"/>
    <w:next w:val="23"/>
    <w:link w:val="0"/>
    <w:uiPriority w:val="0"/>
    <w:rPr>
      <w:color w:val="0000FF" w:themeColor="hyperlink"/>
      <w:u w:val="single" w:color="auto"/>
    </w:rPr>
  </w:style>
  <w:style w:type="character" w:styleId="24" w:customStyle="1">
    <w:name w:val="未解決のメンション1"/>
    <w:basedOn w:val="10"/>
    <w:next w:val="24"/>
    <w:link w:val="0"/>
    <w:uiPriority w:val="0"/>
    <w:rPr>
      <w:color w:val="605E5C"/>
      <w:shd w:val="clear" w:color="auto" w:fill="E1DFDD"/>
    </w:rPr>
  </w:style>
  <w:style w:type="paragraph" w:styleId="25">
    <w:name w:val="header"/>
    <w:basedOn w:val="0"/>
    <w:next w:val="25"/>
    <w:link w:val="26"/>
    <w:uiPriority w:val="0"/>
    <w:pPr>
      <w:tabs>
        <w:tab w:val="center" w:leader="none" w:pos="4252"/>
        <w:tab w:val="right" w:leader="none" w:pos="8504"/>
      </w:tabs>
      <w:snapToGrid w:val="0"/>
    </w:pPr>
  </w:style>
  <w:style w:type="character" w:styleId="26" w:customStyle="1">
    <w:name w:val="ヘッダー (文字)"/>
    <w:basedOn w:val="10"/>
    <w:next w:val="26"/>
    <w:link w:val="25"/>
    <w:uiPriority w:val="0"/>
    <w:rPr>
      <w:rFonts w:ascii="ＭＳ Ｐ明朝" w:hAnsi="ＭＳ Ｐ明朝" w:eastAsia="ＭＳ Ｐ明朝"/>
    </w:rPr>
  </w:style>
  <w:style w:type="paragraph" w:styleId="27">
    <w:name w:val="footer"/>
    <w:basedOn w:val="0"/>
    <w:next w:val="27"/>
    <w:link w:val="28"/>
    <w:uiPriority w:val="0"/>
    <w:pPr>
      <w:tabs>
        <w:tab w:val="center" w:leader="none" w:pos="4252"/>
        <w:tab w:val="right" w:leader="none" w:pos="8504"/>
      </w:tabs>
      <w:snapToGrid w:val="0"/>
    </w:pPr>
  </w:style>
  <w:style w:type="character" w:styleId="28" w:customStyle="1">
    <w:name w:val="フッター (文字)"/>
    <w:basedOn w:val="10"/>
    <w:next w:val="28"/>
    <w:link w:val="27"/>
    <w:uiPriority w:val="0"/>
    <w:rPr>
      <w:rFonts w:ascii="ＭＳ Ｐ明朝" w:hAnsi="ＭＳ Ｐ明朝" w:eastAsia="ＭＳ Ｐ明朝"/>
    </w:rPr>
  </w:style>
  <w:style w:type="character" w:styleId="29" w:customStyle="1">
    <w:name w:val="見出し 5 (文字)"/>
    <w:basedOn w:val="10"/>
    <w:next w:val="29"/>
    <w:link w:val="5"/>
    <w:uiPriority w:val="0"/>
    <w:rPr>
      <w:rFonts w:asciiTheme="majorHAnsi" w:hAnsiTheme="majorHAnsi" w:eastAsiaTheme="majorEastAsia"/>
    </w:rPr>
  </w:style>
  <w:style w:type="character" w:styleId="30" w:customStyle="1">
    <w:name w:val="見出し 3 (文字)"/>
    <w:basedOn w:val="10"/>
    <w:next w:val="30"/>
    <w:link w:val="3"/>
    <w:uiPriority w:val="0"/>
    <w:rPr>
      <w:rFonts w:asciiTheme="majorHAnsi" w:hAnsiTheme="majorHAnsi" w:eastAsiaTheme="majorEastAsia"/>
      <w:sz w:val="24"/>
    </w:rPr>
  </w:style>
  <w:style w:type="character" w:styleId="31" w:customStyle="1">
    <w:name w:val="見出し 4 (文字)"/>
    <w:basedOn w:val="10"/>
    <w:next w:val="31"/>
    <w:link w:val="4"/>
    <w:uiPriority w:val="0"/>
    <w:rPr>
      <w:rFonts w:ascii="ＭＳ Ｐ明朝" w:hAnsi="ＭＳ Ｐ明朝" w:eastAsia="ＭＳ Ｐ明朝"/>
      <w:b w:val="1"/>
    </w:rPr>
  </w:style>
  <w:style w:type="paragraph" w:styleId="32">
    <w:name w:val="TOC Heading"/>
    <w:basedOn w:val="1"/>
    <w:next w:val="0"/>
    <w:link w:val="0"/>
    <w:uiPriority w:val="0"/>
    <w:qFormat/>
    <w:pPr>
      <w:keepNext w:val="1"/>
      <w:keepLines w:val="1"/>
      <w:widowControl w:val="1"/>
      <w:autoSpaceDE w:val="1"/>
      <w:autoSpaceDN w:val="1"/>
      <w:spacing w:before="240" w:beforeLines="0" w:beforeAutospacing="0" w:line="259" w:lineRule="auto"/>
      <w:ind w:firstLine="0"/>
      <w:outlineLvl w:val="9"/>
    </w:pPr>
    <w:rPr>
      <w:rFonts w:asciiTheme="majorHAnsi" w:hAnsiTheme="majorHAnsi" w:eastAsiaTheme="majorEastAsia"/>
      <w:b w:val="0"/>
      <w:color w:val="366092" w:themeColor="accent1" w:themeShade="BF"/>
      <w:sz w:val="32"/>
    </w:rPr>
  </w:style>
  <w:style w:type="paragraph" w:styleId="33">
    <w:name w:val="toc 2"/>
    <w:basedOn w:val="0"/>
    <w:next w:val="0"/>
    <w:link w:val="0"/>
    <w:uiPriority w:val="0"/>
    <w:pPr>
      <w:widowControl w:val="1"/>
      <w:autoSpaceDE w:val="1"/>
      <w:autoSpaceDN w:val="1"/>
      <w:spacing w:after="100" w:afterLines="0" w:afterAutospacing="0" w:line="259" w:lineRule="auto"/>
      <w:ind w:left="220"/>
    </w:pPr>
    <w:rPr>
      <w:rFonts w:asciiTheme="minorHAnsi" w:hAnsiTheme="minorHAnsi" w:eastAsiaTheme="minorEastAsia"/>
    </w:rPr>
  </w:style>
  <w:style w:type="paragraph" w:styleId="34">
    <w:name w:val="toc 1"/>
    <w:basedOn w:val="0"/>
    <w:next w:val="0"/>
    <w:link w:val="0"/>
    <w:uiPriority w:val="0"/>
    <w:pPr>
      <w:widowControl w:val="1"/>
      <w:tabs>
        <w:tab w:val="right" w:leader="dot" w:pos="9356"/>
      </w:tabs>
      <w:autoSpaceDE w:val="1"/>
      <w:autoSpaceDN w:val="1"/>
      <w:spacing w:line="259" w:lineRule="auto"/>
      <w:ind w:left="220" w:leftChars="100" w:right="220" w:rightChars="100" w:firstLine="221"/>
    </w:pPr>
    <w:rPr>
      <w:rFonts w:asciiTheme="minorHAnsi" w:hAnsiTheme="minorHAnsi" w:eastAsiaTheme="minorEastAsia"/>
    </w:rPr>
  </w:style>
  <w:style w:type="paragraph" w:styleId="35">
    <w:name w:val="toc 3"/>
    <w:basedOn w:val="0"/>
    <w:next w:val="0"/>
    <w:link w:val="0"/>
    <w:uiPriority w:val="0"/>
    <w:pPr>
      <w:widowControl w:val="1"/>
      <w:autoSpaceDE w:val="1"/>
      <w:autoSpaceDN w:val="1"/>
      <w:spacing w:after="100" w:afterLines="0" w:afterAutospacing="0" w:line="259" w:lineRule="auto"/>
      <w:ind w:left="440"/>
    </w:pPr>
    <w:rPr>
      <w:rFonts w:asciiTheme="minorHAnsi" w:hAnsiTheme="minorHAnsi" w:eastAsiaTheme="minorEastAsia"/>
    </w:rPr>
  </w:style>
  <w:style w:type="character" w:styleId="36" w:customStyle="1">
    <w:name w:val="見出し 2 (文字)"/>
    <w:basedOn w:val="10"/>
    <w:next w:val="36"/>
    <w:link w:val="2"/>
    <w:uiPriority w:val="0"/>
    <w:rPr>
      <w:rFonts w:ascii="ＭＳ Ｐ明朝" w:hAnsi="ＭＳ Ｐ明朝" w:eastAsia="ＭＳ Ｐ明朝"/>
      <w:sz w:val="26"/>
    </w:rPr>
  </w:style>
  <w:style w:type="character" w:styleId="37">
    <w:name w:val="annotation reference"/>
    <w:basedOn w:val="10"/>
    <w:next w:val="37"/>
    <w:link w:val="0"/>
    <w:uiPriority w:val="0"/>
    <w:semiHidden/>
    <w:rPr>
      <w:sz w:val="18"/>
    </w:rPr>
  </w:style>
  <w:style w:type="paragraph" w:styleId="38">
    <w:name w:val="annotation text"/>
    <w:basedOn w:val="0"/>
    <w:next w:val="38"/>
    <w:link w:val="39"/>
    <w:uiPriority w:val="0"/>
    <w:semiHidden/>
  </w:style>
  <w:style w:type="character" w:styleId="39" w:customStyle="1">
    <w:name w:val="コメント文字列 (文字)"/>
    <w:basedOn w:val="10"/>
    <w:next w:val="39"/>
    <w:link w:val="38"/>
    <w:uiPriority w:val="0"/>
    <w:rPr>
      <w:rFonts w:ascii="ＭＳ Ｐ明朝" w:hAnsi="ＭＳ Ｐ明朝" w:eastAsia="ＭＳ Ｐ明朝"/>
    </w:rPr>
  </w:style>
  <w:style w:type="paragraph" w:styleId="40">
    <w:name w:val="annotation subject"/>
    <w:basedOn w:val="38"/>
    <w:next w:val="38"/>
    <w:link w:val="41"/>
    <w:uiPriority w:val="0"/>
    <w:semiHidden/>
    <w:rPr>
      <w:b w:val="1"/>
    </w:rPr>
  </w:style>
  <w:style w:type="character" w:styleId="41" w:customStyle="1">
    <w:name w:val="コメント内容 (文字)"/>
    <w:basedOn w:val="39"/>
    <w:next w:val="41"/>
    <w:link w:val="40"/>
    <w:uiPriority w:val="0"/>
    <w:rPr>
      <w:rFonts w:ascii="ＭＳ Ｐ明朝" w:hAnsi="ＭＳ Ｐ明朝" w:eastAsia="ＭＳ Ｐ明朝"/>
      <w:b w:val="1"/>
    </w:rPr>
  </w:style>
  <w:style w:type="character" w:styleId="42">
    <w:name w:val="FollowedHyperlink"/>
    <w:basedOn w:val="10"/>
    <w:next w:val="42"/>
    <w:link w:val="0"/>
    <w:uiPriority w:val="0"/>
    <w:rPr>
      <w:color w:val="800080" w:themeColor="followedHyperlink"/>
      <w:u w:val="single" w:color="auto"/>
    </w:rPr>
  </w:style>
  <w:style w:type="paragraph" w:styleId="43">
    <w:name w:val="Normal (Web)"/>
    <w:basedOn w:val="0"/>
    <w:next w:val="43"/>
    <w:link w:val="0"/>
    <w:uiPriority w:val="0"/>
    <w:pPr>
      <w:widowControl w:val="1"/>
      <w:autoSpaceDE w:val="1"/>
      <w:autoSpaceDN w:val="1"/>
      <w:spacing w:before="100" w:beforeLines="0" w:beforeAutospacing="1" w:after="100" w:afterLines="0" w:afterAutospacing="1"/>
    </w:pPr>
    <w:rPr>
      <w:rFonts w:ascii="ＭＳ Ｐゴシック" w:hAnsi="ＭＳ Ｐゴシック" w:eastAsia="ＭＳ Ｐゴシック"/>
      <w:sz w:val="24"/>
    </w:rPr>
  </w:style>
  <w:style w:type="paragraph" w:styleId="44">
    <w:name w:val="Revision"/>
    <w:next w:val="44"/>
    <w:link w:val="0"/>
    <w:uiPriority w:val="0"/>
    <w:pPr>
      <w:widowControl w:val="1"/>
      <w:autoSpaceDE w:val="1"/>
      <w:autoSpaceDN w:val="1"/>
    </w:pPr>
    <w:rPr>
      <w:rFonts w:ascii="ＭＳ Ｐ明朝" w:hAnsi="ＭＳ Ｐ明朝" w:eastAsia="ＭＳ Ｐ明朝"/>
    </w:rPr>
  </w:style>
  <w:style w:type="paragraph" w:styleId="45">
    <w:name w:val="footnote text"/>
    <w:basedOn w:val="0"/>
    <w:next w:val="45"/>
    <w:link w:val="46"/>
    <w:uiPriority w:val="0"/>
    <w:semiHidden/>
    <w:pPr>
      <w:snapToGrid w:val="0"/>
    </w:pPr>
  </w:style>
  <w:style w:type="character" w:styleId="46" w:customStyle="1">
    <w:name w:val="脚注文字列 (文字)"/>
    <w:basedOn w:val="10"/>
    <w:next w:val="46"/>
    <w:link w:val="45"/>
    <w:uiPriority w:val="0"/>
    <w:rPr>
      <w:rFonts w:ascii="ＭＳ Ｐ明朝" w:hAnsi="ＭＳ Ｐ明朝" w:eastAsia="ＭＳ Ｐ明朝"/>
    </w:rPr>
  </w:style>
  <w:style w:type="character" w:styleId="47">
    <w:name w:val="footnote reference"/>
    <w:basedOn w:val="10"/>
    <w:next w:val="47"/>
    <w:link w:val="0"/>
    <w:uiPriority w:val="0"/>
    <w:semiHidden/>
    <w:rPr>
      <w:vertAlign w:val="superscript"/>
    </w:rPr>
  </w:style>
  <w:style w:type="paragraph" w:styleId="48">
    <w:name w:val="Date"/>
    <w:basedOn w:val="0"/>
    <w:next w:val="0"/>
    <w:link w:val="49"/>
    <w:uiPriority w:val="0"/>
  </w:style>
  <w:style w:type="character" w:styleId="49" w:customStyle="1">
    <w:name w:val="日付 (文字)"/>
    <w:basedOn w:val="10"/>
    <w:next w:val="49"/>
    <w:link w:val="48"/>
    <w:uiPriority w:val="0"/>
    <w:rPr>
      <w:rFonts w:ascii="ＭＳ Ｐ明朝" w:hAnsi="ＭＳ Ｐ明朝" w:eastAsia="ＭＳ Ｐ明朝"/>
    </w:rPr>
  </w:style>
  <w:style w:type="character" w:styleId="50" w:customStyle="1">
    <w:name w:val="未解決のメンション2"/>
    <w:basedOn w:val="10"/>
    <w:next w:val="50"/>
    <w:link w:val="0"/>
    <w:uiPriority w:val="0"/>
    <w:rPr>
      <w:color w:val="605E5C"/>
      <w:shd w:val="clear" w:color="auto" w:fill="E1DFDD"/>
    </w:rPr>
  </w:style>
  <w:style w:type="paragraph" w:styleId="51">
    <w:name w:val="Title"/>
    <w:basedOn w:val="0"/>
    <w:next w:val="0"/>
    <w:link w:val="52"/>
    <w:uiPriority w:val="0"/>
    <w:qFormat/>
    <w:pPr>
      <w:ind w:firstLine="360"/>
      <w:jc w:val="center"/>
    </w:pPr>
    <w:rPr>
      <w:sz w:val="36"/>
    </w:rPr>
  </w:style>
  <w:style w:type="character" w:styleId="52" w:customStyle="1">
    <w:name w:val="表題 (文字)"/>
    <w:basedOn w:val="10"/>
    <w:next w:val="52"/>
    <w:link w:val="51"/>
    <w:uiPriority w:val="0"/>
    <w:rPr>
      <w:rFonts w:ascii="ＭＳ Ｐ明朝" w:hAnsi="ＭＳ Ｐ明朝" w:eastAsia="ＭＳ Ｐ明朝"/>
      <w:sz w:val="36"/>
    </w:rPr>
  </w:style>
  <w:style w:type="paragraph" w:styleId="53" w:customStyle="1">
    <w:name w:val="てん"/>
    <w:basedOn w:val="16"/>
    <w:next w:val="53"/>
    <w:link w:val="55"/>
    <w:uiPriority w:val="0"/>
    <w:qFormat/>
    <w:pPr>
      <w:numPr>
        <w:ilvl w:val="0"/>
        <w:numId w:val="4"/>
      </w:numPr>
      <w:ind w:left="709" w:leftChars="0" w:hanging="214" w:firstLineChars="0"/>
    </w:pPr>
  </w:style>
  <w:style w:type="character" w:styleId="54" w:customStyle="1">
    <w:name w:val="リスト段落 (文字)"/>
    <w:basedOn w:val="10"/>
    <w:next w:val="54"/>
    <w:link w:val="16"/>
    <w:uiPriority w:val="0"/>
    <w:rPr>
      <w:rFonts w:ascii="ＭＳ Ｐ明朝" w:hAnsi="ＭＳ Ｐ明朝" w:eastAsia="ＭＳ Ｐ明朝"/>
    </w:rPr>
  </w:style>
  <w:style w:type="character" w:styleId="55" w:customStyle="1">
    <w:name w:val="てん (文字)"/>
    <w:basedOn w:val="54"/>
    <w:next w:val="55"/>
    <w:link w:val="53"/>
    <w:uiPriority w:val="0"/>
    <w:rPr>
      <w:rFonts w:ascii="ＭＳ Ｐ明朝" w:hAnsi="ＭＳ Ｐ明朝" w:eastAsia="ＭＳ Ｐ明朝"/>
    </w:rPr>
  </w:style>
  <w:style w:type="character" w:styleId="56" w:customStyle="1">
    <w:name w:val="未解決のメンション3"/>
    <w:basedOn w:val="10"/>
    <w:next w:val="56"/>
    <w:link w:val="0"/>
    <w:uiPriority w:val="0"/>
    <w:rPr>
      <w:color w:val="605E5C"/>
      <w:shd w:val="clear" w:color="auto" w:fill="E1DFDD"/>
    </w:rPr>
  </w:style>
  <w:style w:type="paragraph" w:styleId="57">
    <w:name w:val="caption"/>
    <w:basedOn w:val="0"/>
    <w:next w:val="0"/>
    <w:link w:val="0"/>
    <w:uiPriority w:val="0"/>
    <w:semiHidden/>
    <w:qFormat/>
    <w:pPr>
      <w:widowControl w:val="1"/>
      <w:autoSpaceDE w:val="1"/>
      <w:autoSpaceDN w:val="1"/>
      <w:ind w:left="0" w:leftChars="0" w:firstLine="0" w:firstLineChars="0"/>
      <w:jc w:val="center"/>
    </w:pPr>
    <w:rPr>
      <w:rFonts w:ascii="ＭＳ Ｐゴシック" w:hAnsi="ＭＳ Ｐゴシック" w:eastAsia="ＭＳ 明朝"/>
    </w:rPr>
  </w:style>
  <w:style w:type="character" w:styleId="58">
    <w:name w:val="endnote reference"/>
    <w:basedOn w:val="10"/>
    <w:next w:val="58"/>
    <w:link w:val="0"/>
    <w:uiPriority w:val="0"/>
    <w:semiHidden/>
    <w:rPr>
      <w:vertAlign w:val="superscript"/>
    </w:rPr>
  </w:style>
  <w:style w:type="table" w:styleId="59" w:customStyle="1">
    <w:name w:val="Table Normal"/>
    <w:basedOn w:val="11"/>
    <w:next w:val="59"/>
    <w:link w:val="0"/>
    <w:uiPriority w:val="0"/>
    <w:tblPr>
      <w:tblStyleRowBandSize w:val="1"/>
      <w:tblStyleColBandSize w:val="1"/>
      <w:tblInd w:w="0" w:type="dxa"/>
      <w:tblCellMar>
        <w:top w:w="0" w:type="dxa"/>
        <w:bottom w:w="0" w:type="dxa"/>
        <w:left w:w="0" w:type="dxa"/>
        <w:right w:w="0" w:type="dxa"/>
      </w:tblCellMar>
    </w:tblPr>
    <w:trPr/>
    <w:tcPr/>
  </w:style>
  <w:style w:type="table" w:styleId="60">
    <w:name w:val="Table Grid"/>
    <w:basedOn w:val="11"/>
    <w:next w:val="60"/>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61" w:customStyle="1">
    <w:name w:val="TableGrid"/>
    <w:basedOn w:val="11"/>
    <w:next w:val="61"/>
    <w:link w:val="0"/>
    <w:uiPriority w:val="0"/>
    <w:pPr>
      <w:widowControl w:val="1"/>
      <w:autoSpaceDE w:val="1"/>
      <w:autoSpaceDN w:val="1"/>
    </w:pPr>
    <w:rPr>
      <w:kern w:val="2"/>
      <w:sz w:val="21"/>
    </w:rPr>
    <w:tblPr>
      <w:tblStyleRowBandSize w:val="1"/>
      <w:tblStyleColBandSize w:val="1"/>
      <w:tblCellMar>
        <w:top w:w="0" w:type="dxa"/>
        <w:bottom w:w="0" w:type="dxa"/>
        <w:left w:w="0" w:type="dxa"/>
        <w:right w:w="0" w:type="dxa"/>
      </w:tblCellMar>
    </w:tblPr>
    <w:trPr/>
    <w:tcPr/>
  </w:style>
</w:style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footer" Target="footer2.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fontTable" Target="fontTable.xml"/><Relationship Id="rId6" Type="http://schemas.openxmlformats.org/officeDocument/2006/relationships/footer" Target="footer1.xml"/><Relationship Id="rId11" Type="http://schemas.openxmlformats.org/officeDocument/2006/relationships/customXml" Target="../customXml/item2.xml"/><Relationship Id="rId5" Type="http://schemas.openxmlformats.org/officeDocument/2006/relationships/theme" Target="theme/theme1.xml"/><Relationship Id="rId10" Type="http://schemas.openxmlformats.org/officeDocument/2006/relationships/customXml" Target="../customXml/item1.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03c6ca1869a56ccf8859071e3276d66a">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c38af01d94c57838dd7283db5153e1dd"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CF92575-0288-48B1-B1C8-14FFD8556D40}"/>
</file>

<file path=customXml/itemProps2.xml><?xml version="1.0" encoding="utf-8"?>
<ds:datastoreItem xmlns:ds="http://schemas.openxmlformats.org/officeDocument/2006/customXml" ds:itemID="{E1249F1B-A708-40C6-BA4B-5A870F156352}"/>
</file>

<file path=customXml/itemProps3.xml><?xml version="1.0" encoding="utf-8"?>
<ds:datastoreItem xmlns:ds="http://schemas.openxmlformats.org/officeDocument/2006/customXml" ds:itemID="{52B336B4-8D30-422E-B066-89EFCFC27D49}"/>
</file>

<file path=docProps/app.xml><?xml version="1.0" encoding="utf-8"?>
<Properties xmlns:vt="http://schemas.openxmlformats.org/officeDocument/2006/docPropsVTypes" xmlns="http://schemas.openxmlformats.org/officeDocument/2006/extended-properties">
  <Template>Normal.dot</Template>
  <TotalTime>41</TotalTime>
  <Pages>2</Pages>
  <Words>54</Words>
  <Characters>1654</Characters>
  <Application>JUST Note</Application>
  <Lines>138</Lines>
  <Paragraphs>47</Paragraphs>
  <CharactersWithSpaces>1662</CharactersWithSpaces>
  <AppVersion>4.0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PwC</dc:creator>
  <cp:lastModifiedBy>02960</cp:lastModifiedBy>
  <cp:revision>2</cp:revision>
  <cp:lastPrinted>2022-06-06T05:30:00Z</cp:lastPrinted>
  <dcterms:created xsi:type="dcterms:W3CDTF">2026-01-27T00:27:00Z</dcterms:created>
  <dcterms:modified xsi:type="dcterms:W3CDTF">2026-01-29T04:10:00Z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0x010100823163CBA9CB7B459C703000471BF1E5</vt:lpwstr>
  </property>
  <property fmtid="{D5CDD505-2E9C-101B-9397-08002B2CF9AE}" pid="3" name="Created">
    <vt:filetime>2020-05-07T00:00:00Z</vt:filetime>
  </property>
  <property fmtid="{D5CDD505-2E9C-101B-9397-08002B2CF9AE}" pid="4" name="Creator">
    <vt:lpwstr>Microsoft® Word for Office 365</vt:lpwstr>
  </property>
  <property fmtid="{D5CDD505-2E9C-101B-9397-08002B2CF9AE}" pid="5" name="LastSaved">
    <vt:filetime>2020-07-16T00:00:00Z</vt:filetime>
  </property>
  <property fmtid="{D5CDD505-2E9C-101B-9397-08002B2CF9AE}" pid="6" name="MediaServiceImageTags">
    <vt:lpwstr/>
  </property>
</Properties>
</file>