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7F" w:rsidRPr="00FE2F7F" w:rsidRDefault="00FE2F7F" w:rsidP="00FE2F7F">
      <w:pPr>
        <w:overflowPunct w:val="0"/>
        <w:jc w:val="right"/>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令和　　年　　月　　日</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海難審判所長　殿</w:t>
      </w:r>
      <w:bookmarkStart w:id="0" w:name="_GoBack"/>
      <w:bookmarkEnd w:id="0"/>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登録者との続柄</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住　　所</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氏　　名</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w:t>
      </w:r>
      <w:r w:rsidR="005565E7">
        <w:rPr>
          <w:rFonts w:ascii="Times New Roman" w:eastAsia="ＭＳ 明朝" w:hAnsi="Times New Roman" w:cs="ＭＳ 明朝" w:hint="eastAsia"/>
          <w:color w:val="000000"/>
          <w:kern w:val="0"/>
          <w:sz w:val="24"/>
          <w:szCs w:val="24"/>
        </w:rPr>
        <w:t xml:space="preserve">　</w:t>
      </w:r>
      <w:r w:rsidRPr="00FE2F7F">
        <w:rPr>
          <w:rFonts w:ascii="Times New Roman" w:eastAsia="ＭＳ 明朝" w:hAnsi="Times New Roman" w:cs="ＭＳ 明朝" w:hint="eastAsia"/>
          <w:color w:val="000000"/>
          <w:kern w:val="0"/>
          <w:sz w:val="24"/>
          <w:szCs w:val="24"/>
        </w:rPr>
        <w:t xml:space="preserve">　　　　　　　　　（</w:t>
      </w:r>
      <w:r w:rsidRPr="005565E7">
        <w:rPr>
          <w:rFonts w:ascii="Times New Roman" w:eastAsia="ＭＳ 明朝" w:hAnsi="Times New Roman" w:cs="ＭＳ 明朝" w:hint="eastAsia"/>
          <w:color w:val="000000"/>
          <w:w w:val="66"/>
          <w:kern w:val="0"/>
          <w:sz w:val="24"/>
          <w:szCs w:val="24"/>
        </w:rPr>
        <w:t>記名又は署名</w:t>
      </w:r>
      <w:r w:rsidRPr="00FE2F7F">
        <w:rPr>
          <w:rFonts w:ascii="Times New Roman" w:eastAsia="ＭＳ 明朝" w:hAnsi="Times New Roman" w:cs="ＭＳ 明朝" w:hint="eastAsia"/>
          <w:color w:val="000000"/>
          <w:kern w:val="0"/>
          <w:sz w:val="24"/>
          <w:szCs w:val="24"/>
        </w:rPr>
        <w:t>）</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下記の者は，海難審判法施行規則第２０条第４号の欠格条項に至ったため，海難審判法施行規則第２６条の２の規定により届け出ます。</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jc w:val="center"/>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記</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登録番号　　第　　　　　号</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氏　　名</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添付書類</w:t>
      </w:r>
    </w:p>
    <w:p w:rsidR="00FE2F7F" w:rsidRPr="00FE2F7F" w:rsidRDefault="00FE2F7F" w:rsidP="00FE2F7F">
      <w:pPr>
        <w:overflowPunct w:val="0"/>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kern w:val="0"/>
          <w:sz w:val="24"/>
          <w:szCs w:val="24"/>
        </w:rPr>
        <w:t xml:space="preserve">　　　　　　　診断書</w:t>
      </w:r>
    </w:p>
    <w:p w:rsidR="00FE2F7F" w:rsidRDefault="00FE2F7F" w:rsidP="00FE2F7F">
      <w:pPr>
        <w:overflowPunct w:val="0"/>
        <w:textAlignment w:val="baseline"/>
        <w:rPr>
          <w:rFonts w:ascii="ＭＳ 明朝" w:eastAsia="ＭＳ 明朝" w:hAnsi="Times New Roman"/>
          <w:color w:val="000000"/>
          <w:spacing w:val="28"/>
          <w:kern w:val="0"/>
          <w:sz w:val="24"/>
          <w:szCs w:val="24"/>
        </w:rPr>
      </w:pPr>
    </w:p>
    <w:p w:rsidR="00096303" w:rsidRPr="00FE2F7F" w:rsidRDefault="00521263" w:rsidP="00FE2F7F">
      <w:pPr>
        <w:overflowPunct w:val="0"/>
        <w:textAlignment w:val="baseline"/>
        <w:rPr>
          <w:rFonts w:ascii="ＭＳ 明朝" w:eastAsia="ＭＳ 明朝" w:hAnsi="Times New Roman"/>
          <w:color w:val="000000"/>
          <w:spacing w:val="28"/>
          <w:kern w:val="0"/>
          <w:sz w:val="24"/>
          <w:szCs w:val="24"/>
        </w:rPr>
      </w:pPr>
      <w:r>
        <w:rPr>
          <w:rFonts w:ascii="ＭＳ 明朝" w:eastAsia="ＭＳ 明朝" w:hAnsi="Times New Roman" w:hint="eastAsia"/>
          <w:noProof/>
          <w:color w:val="000000"/>
          <w:spacing w:val="28"/>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-105410</wp:posOffset>
                </wp:positionH>
                <wp:positionV relativeFrom="paragraph">
                  <wp:posOffset>243205</wp:posOffset>
                </wp:positionV>
                <wp:extent cx="5876925" cy="2686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2686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spacing w:val="-6"/>
                                <w:kern w:val="0"/>
                                <w:sz w:val="18"/>
                                <w:szCs w:val="18"/>
                              </w:rPr>
                              <w:t>（参考）</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Theme="majorEastAsia" w:eastAsiaTheme="majorEastAsia" w:hAnsiTheme="majorEastAsia"/>
                                <w:color w:val="000000"/>
                                <w:spacing w:val="28"/>
                                <w:kern w:val="0"/>
                                <w:sz w:val="24"/>
                                <w:szCs w:val="24"/>
                              </w:rPr>
                            </w:pPr>
                            <w:r w:rsidRPr="00FE2F7F">
                              <w:rPr>
                                <w:rFonts w:asciiTheme="majorEastAsia" w:eastAsiaTheme="majorEastAsia" w:hAnsiTheme="majorEastAsia" w:cs="ＭＳ 明朝" w:hint="eastAsia"/>
                                <w:color w:val="000000"/>
                                <w:spacing w:val="-6"/>
                                <w:kern w:val="0"/>
                                <w:sz w:val="18"/>
                                <w:szCs w:val="18"/>
                              </w:rPr>
                              <w:t>海難審判法施行規則第２０条第４号</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spacing w:val="-6"/>
                                <w:kern w:val="0"/>
                                <w:sz w:val="18"/>
                                <w:szCs w:val="18"/>
                              </w:rPr>
                              <w:t xml:space="preserve">　精神の機能の障害により海事補佐人の職務を適正に行うに当</w:t>
                            </w:r>
                            <w:proofErr w:type="gramStart"/>
                            <w:r w:rsidRPr="00FE2F7F">
                              <w:rPr>
                                <w:rFonts w:ascii="Times New Roman" w:eastAsia="ＭＳ 明朝" w:hAnsi="Times New Roman" w:cs="ＭＳ 明朝" w:hint="eastAsia"/>
                                <w:color w:val="000000"/>
                                <w:spacing w:val="-6"/>
                                <w:kern w:val="0"/>
                                <w:sz w:val="18"/>
                                <w:szCs w:val="18"/>
                              </w:rPr>
                              <w:t>たつて</w:t>
                            </w:r>
                            <w:proofErr w:type="gramEnd"/>
                            <w:r w:rsidRPr="00FE2F7F">
                              <w:rPr>
                                <w:rFonts w:ascii="Times New Roman" w:eastAsia="ＭＳ 明朝" w:hAnsi="Times New Roman" w:cs="ＭＳ 明朝" w:hint="eastAsia"/>
                                <w:color w:val="000000"/>
                                <w:spacing w:val="-6"/>
                                <w:kern w:val="0"/>
                                <w:sz w:val="18"/>
                                <w:szCs w:val="18"/>
                              </w:rPr>
                              <w:t>必要な認知</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判断及び意思疎通を適切に行うことができない者</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Theme="majorEastAsia" w:eastAsiaTheme="majorEastAsia" w:hAnsiTheme="majorEastAsia"/>
                                <w:color w:val="000000"/>
                                <w:spacing w:val="28"/>
                                <w:kern w:val="0"/>
                                <w:sz w:val="24"/>
                                <w:szCs w:val="24"/>
                              </w:rPr>
                            </w:pPr>
                            <w:r w:rsidRPr="00FE2F7F">
                              <w:rPr>
                                <w:rFonts w:asciiTheme="majorEastAsia" w:eastAsiaTheme="majorEastAsia" w:hAnsiTheme="majorEastAsia" w:cs="ＭＳ 明朝" w:hint="eastAsia"/>
                                <w:color w:val="000000"/>
                                <w:spacing w:val="-6"/>
                                <w:kern w:val="0"/>
                                <w:sz w:val="18"/>
                                <w:szCs w:val="18"/>
                              </w:rPr>
                              <w:t>海難審判法施行規則第２６条の２</w:t>
                            </w:r>
                          </w:p>
                          <w:p w:rsidR="00521263" w:rsidRPr="00FE2F7F" w:rsidRDefault="00521263" w:rsidP="00521263">
                            <w:pPr>
                              <w:spacing w:line="400" w:lineRule="exact"/>
                              <w:ind w:rightChars="49" w:right="139"/>
                            </w:pPr>
                            <w:r w:rsidRPr="00FE2F7F">
                              <w:rPr>
                                <w:rFonts w:ascii="Times New Roman" w:eastAsia="ＭＳ 明朝" w:hAnsi="Times New Roman"/>
                                <w:color w:val="000000"/>
                                <w:spacing w:val="-4"/>
                                <w:kern w:val="0"/>
                                <w:sz w:val="18"/>
                                <w:szCs w:val="18"/>
                              </w:rPr>
                              <w:t xml:space="preserve">  </w:t>
                            </w:r>
                            <w:r w:rsidRPr="00FE2F7F">
                              <w:rPr>
                                <w:rFonts w:ascii="Times New Roman" w:eastAsia="ＭＳ 明朝" w:hAnsi="Times New Roman" w:cs="ＭＳ 明朝" w:hint="eastAsia"/>
                                <w:color w:val="000000"/>
                                <w:spacing w:val="-6"/>
                                <w:kern w:val="0"/>
                                <w:sz w:val="18"/>
                                <w:szCs w:val="18"/>
                              </w:rPr>
                              <w:t>海事補佐人又はその法定代理人若しくは同居の親族は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当該海事補佐人が精神の機能の障害を有することにより認知</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判断及び意思疎通を適切に行うことができない状態と</w:t>
                            </w:r>
                            <w:proofErr w:type="gramStart"/>
                            <w:r w:rsidRPr="00FE2F7F">
                              <w:rPr>
                                <w:rFonts w:ascii="Times New Roman" w:eastAsia="ＭＳ 明朝" w:hAnsi="Times New Roman" w:cs="ＭＳ 明朝" w:hint="eastAsia"/>
                                <w:color w:val="000000"/>
                                <w:spacing w:val="-6"/>
                                <w:kern w:val="0"/>
                                <w:sz w:val="18"/>
                                <w:szCs w:val="18"/>
                              </w:rPr>
                              <w:t>なつた</w:t>
                            </w:r>
                            <w:proofErr w:type="gramEnd"/>
                            <w:r w:rsidRPr="00FE2F7F">
                              <w:rPr>
                                <w:rFonts w:ascii="Times New Roman" w:eastAsia="ＭＳ 明朝" w:hAnsi="Times New Roman" w:cs="ＭＳ 明朝" w:hint="eastAsia"/>
                                <w:color w:val="000000"/>
                                <w:spacing w:val="-6"/>
                                <w:kern w:val="0"/>
                                <w:sz w:val="18"/>
                                <w:szCs w:val="18"/>
                              </w:rPr>
                              <w:t>ときは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海難審判所長に届け出なければならない。この場合においては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病名</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障害の程度</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病因</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病後の経過</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治癒の見込みその他参考となる所見を記載した医師の診断書を添付しなければならない。</w:t>
                            </w:r>
                          </w:p>
                          <w:p w:rsidR="00521263" w:rsidRPr="00521263" w:rsidRDefault="00521263" w:rsidP="00521263">
                            <w:pPr>
                              <w:jc w:val="center"/>
                            </w:pPr>
                          </w:p>
                        </w:txbxContent>
                      </wps:txbx>
                      <wps:bodyPr rot="0" spcFirstLastPara="0" vertOverflow="overflow" horzOverflow="overflow" vert="horz" wrap="square" lIns="180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3pt;margin-top:19.15pt;width:462.75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" filled="f" strokecolor="black [3213]">
                <v:textbox inset="5mm,,0">
                  <w:txbxContent>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spacing w:val="-6"/>
                          <w:kern w:val="0"/>
                          <w:sz w:val="18"/>
                          <w:szCs w:val="18"/>
                        </w:rPr>
                        <w:t>（参考）</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Theme="majorEastAsia" w:eastAsiaTheme="majorEastAsia" w:hAnsiTheme="majorEastAsia"/>
                          <w:color w:val="000000"/>
                          <w:spacing w:val="28"/>
                          <w:kern w:val="0"/>
                          <w:sz w:val="24"/>
                          <w:szCs w:val="24"/>
                        </w:rPr>
                      </w:pPr>
                      <w:r w:rsidRPr="00FE2F7F">
                        <w:rPr>
                          <w:rFonts w:asciiTheme="majorEastAsia" w:eastAsiaTheme="majorEastAsia" w:hAnsiTheme="majorEastAsia" w:cs="ＭＳ 明朝" w:hint="eastAsia"/>
                          <w:color w:val="000000"/>
                          <w:spacing w:val="-6"/>
                          <w:kern w:val="0"/>
                          <w:sz w:val="18"/>
                          <w:szCs w:val="18"/>
                        </w:rPr>
                        <w:t>海難審判法施行規則第２０条第４号</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ＭＳ 明朝" w:eastAsia="ＭＳ 明朝" w:hAnsi="Times New Roman"/>
                          <w:color w:val="000000"/>
                          <w:spacing w:val="28"/>
                          <w:kern w:val="0"/>
                          <w:sz w:val="24"/>
                          <w:szCs w:val="24"/>
                        </w:rPr>
                      </w:pPr>
                      <w:r w:rsidRPr="00FE2F7F">
                        <w:rPr>
                          <w:rFonts w:ascii="Times New Roman" w:eastAsia="ＭＳ 明朝" w:hAnsi="Times New Roman" w:cs="ＭＳ 明朝" w:hint="eastAsia"/>
                          <w:color w:val="000000"/>
                          <w:spacing w:val="-6"/>
                          <w:kern w:val="0"/>
                          <w:sz w:val="18"/>
                          <w:szCs w:val="18"/>
                        </w:rPr>
                        <w:t xml:space="preserve">　精神の機能の障害により海事補佐人の職務を適正に行うに当</w:t>
                      </w:r>
                      <w:proofErr w:type="gramStart"/>
                      <w:r w:rsidRPr="00FE2F7F">
                        <w:rPr>
                          <w:rFonts w:ascii="Times New Roman" w:eastAsia="ＭＳ 明朝" w:hAnsi="Times New Roman" w:cs="ＭＳ 明朝" w:hint="eastAsia"/>
                          <w:color w:val="000000"/>
                          <w:spacing w:val="-6"/>
                          <w:kern w:val="0"/>
                          <w:sz w:val="18"/>
                          <w:szCs w:val="18"/>
                        </w:rPr>
                        <w:t>たつて</w:t>
                      </w:r>
                      <w:proofErr w:type="gramEnd"/>
                      <w:r w:rsidRPr="00FE2F7F">
                        <w:rPr>
                          <w:rFonts w:ascii="Times New Roman" w:eastAsia="ＭＳ 明朝" w:hAnsi="Times New Roman" w:cs="ＭＳ 明朝" w:hint="eastAsia"/>
                          <w:color w:val="000000"/>
                          <w:spacing w:val="-6"/>
                          <w:kern w:val="0"/>
                          <w:sz w:val="18"/>
                          <w:szCs w:val="18"/>
                        </w:rPr>
                        <w:t>必要な認知</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判断及び意思疎通を適切に行うことができない者</w:t>
                      </w:r>
                    </w:p>
                    <w:p w:rsidR="00521263" w:rsidRPr="00FE2F7F" w:rsidRDefault="00521263" w:rsidP="00521263">
                      <w:pPr>
                        <w:suppressAutoHyphens/>
                        <w:kinsoku w:val="0"/>
                        <w:overflowPunct w:val="0"/>
                        <w:autoSpaceDE w:val="0"/>
                        <w:autoSpaceDN w:val="0"/>
                        <w:adjustRightInd w:val="0"/>
                        <w:spacing w:line="400" w:lineRule="exact"/>
                        <w:jc w:val="left"/>
                        <w:textAlignment w:val="baseline"/>
                        <w:rPr>
                          <w:rFonts w:asciiTheme="majorEastAsia" w:eastAsiaTheme="majorEastAsia" w:hAnsiTheme="majorEastAsia"/>
                          <w:color w:val="000000"/>
                          <w:spacing w:val="28"/>
                          <w:kern w:val="0"/>
                          <w:sz w:val="24"/>
                          <w:szCs w:val="24"/>
                        </w:rPr>
                      </w:pPr>
                      <w:r w:rsidRPr="00FE2F7F">
                        <w:rPr>
                          <w:rFonts w:asciiTheme="majorEastAsia" w:eastAsiaTheme="majorEastAsia" w:hAnsiTheme="majorEastAsia" w:cs="ＭＳ 明朝" w:hint="eastAsia"/>
                          <w:color w:val="000000"/>
                          <w:spacing w:val="-6"/>
                          <w:kern w:val="0"/>
                          <w:sz w:val="18"/>
                          <w:szCs w:val="18"/>
                        </w:rPr>
                        <w:t>海難審判法施行規則第２６条の２</w:t>
                      </w:r>
                    </w:p>
                    <w:p w:rsidR="00521263" w:rsidRPr="00FE2F7F" w:rsidRDefault="00521263" w:rsidP="00521263">
                      <w:pPr>
                        <w:spacing w:line="400" w:lineRule="exact"/>
                        <w:ind w:rightChars="49" w:right="139"/>
                      </w:pPr>
                      <w:r w:rsidRPr="00FE2F7F">
                        <w:rPr>
                          <w:rFonts w:ascii="Times New Roman" w:eastAsia="ＭＳ 明朝" w:hAnsi="Times New Roman"/>
                          <w:color w:val="000000"/>
                          <w:spacing w:val="-4"/>
                          <w:kern w:val="0"/>
                          <w:sz w:val="18"/>
                          <w:szCs w:val="18"/>
                        </w:rPr>
                        <w:t xml:space="preserve">  </w:t>
                      </w:r>
                      <w:r w:rsidRPr="00FE2F7F">
                        <w:rPr>
                          <w:rFonts w:ascii="Times New Roman" w:eastAsia="ＭＳ 明朝" w:hAnsi="Times New Roman" w:cs="ＭＳ 明朝" w:hint="eastAsia"/>
                          <w:color w:val="000000"/>
                          <w:spacing w:val="-6"/>
                          <w:kern w:val="0"/>
                          <w:sz w:val="18"/>
                          <w:szCs w:val="18"/>
                        </w:rPr>
                        <w:t>海事補佐人又はその法定代理人若しくは同居の親族は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当該海事補佐人が精神の機能の障害を有することにより認知</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判断及び意思疎通を適切に行うことができない状態と</w:t>
                      </w:r>
                      <w:proofErr w:type="gramStart"/>
                      <w:r w:rsidRPr="00FE2F7F">
                        <w:rPr>
                          <w:rFonts w:ascii="Times New Roman" w:eastAsia="ＭＳ 明朝" w:hAnsi="Times New Roman" w:cs="ＭＳ 明朝" w:hint="eastAsia"/>
                          <w:color w:val="000000"/>
                          <w:spacing w:val="-6"/>
                          <w:kern w:val="0"/>
                          <w:sz w:val="18"/>
                          <w:szCs w:val="18"/>
                        </w:rPr>
                        <w:t>なつた</w:t>
                      </w:r>
                      <w:proofErr w:type="gramEnd"/>
                      <w:r w:rsidRPr="00FE2F7F">
                        <w:rPr>
                          <w:rFonts w:ascii="Times New Roman" w:eastAsia="ＭＳ 明朝" w:hAnsi="Times New Roman" w:cs="ＭＳ 明朝" w:hint="eastAsia"/>
                          <w:color w:val="000000"/>
                          <w:spacing w:val="-6"/>
                          <w:kern w:val="0"/>
                          <w:sz w:val="18"/>
                          <w:szCs w:val="18"/>
                        </w:rPr>
                        <w:t>ときは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海難審判所長に届け出なければならない。この場合においては</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病名</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障害の程度</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病因</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病後の経過</w:t>
                      </w:r>
                      <w:r>
                        <w:rPr>
                          <w:rFonts w:ascii="Times New Roman" w:eastAsia="ＭＳ 明朝" w:hAnsi="Times New Roman" w:cs="ＭＳ 明朝" w:hint="eastAsia"/>
                          <w:color w:val="000000"/>
                          <w:spacing w:val="-6"/>
                          <w:kern w:val="0"/>
                          <w:sz w:val="18"/>
                          <w:szCs w:val="18"/>
                        </w:rPr>
                        <w:t>，</w:t>
                      </w:r>
                      <w:r w:rsidRPr="00FE2F7F">
                        <w:rPr>
                          <w:rFonts w:ascii="Times New Roman" w:eastAsia="ＭＳ 明朝" w:hAnsi="Times New Roman" w:cs="ＭＳ 明朝" w:hint="eastAsia"/>
                          <w:color w:val="000000"/>
                          <w:spacing w:val="-6"/>
                          <w:kern w:val="0"/>
                          <w:sz w:val="18"/>
                          <w:szCs w:val="18"/>
                        </w:rPr>
                        <w:t>治癒の見込みその他参考となる所見を記載した医師の診断書を添付しなければならない。</w:t>
                      </w:r>
                    </w:p>
                    <w:p w:rsidR="00521263" w:rsidRPr="00521263" w:rsidRDefault="00521263" w:rsidP="00521263">
                      <w:pPr>
                        <w:jc w:val="center"/>
                      </w:pPr>
                    </w:p>
                  </w:txbxContent>
                </v:textbox>
                <w10:wrap anchorx="margin"/>
              </v:rect>
            </w:pict>
          </mc:Fallback>
        </mc:AlternateContent>
      </w:r>
    </w:p>
    <w:sectPr w:rsidR="00096303" w:rsidRPr="00FE2F7F" w:rsidSect="00096303">
      <w:pgSz w:w="11906" w:h="16838" w:code="9"/>
      <w:pgMar w:top="1418" w:right="1304" w:bottom="1418" w:left="1531" w:header="454" w:footer="992" w:gutter="0"/>
      <w:cols w:space="720"/>
      <w:docGrid w:type="linesAndChars" w:linePitch="388"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9C" w:rsidRDefault="00A3239C">
      <w:r>
        <w:separator/>
      </w:r>
    </w:p>
  </w:endnote>
  <w:endnote w:type="continuationSeparator" w:id="0">
    <w:p w:rsidR="00A3239C" w:rsidRDefault="00A3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9C" w:rsidRDefault="00A3239C">
      <w:r>
        <w:separator/>
      </w:r>
    </w:p>
  </w:footnote>
  <w:footnote w:type="continuationSeparator" w:id="0">
    <w:p w:rsidR="00A3239C" w:rsidRDefault="00A32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8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7F"/>
    <w:rsid w:val="00096303"/>
    <w:rsid w:val="00252A63"/>
    <w:rsid w:val="00256414"/>
    <w:rsid w:val="00356CAE"/>
    <w:rsid w:val="00385F93"/>
    <w:rsid w:val="003B25DA"/>
    <w:rsid w:val="00521263"/>
    <w:rsid w:val="00546889"/>
    <w:rsid w:val="005565E7"/>
    <w:rsid w:val="005677E2"/>
    <w:rsid w:val="00725274"/>
    <w:rsid w:val="008B4C07"/>
    <w:rsid w:val="00937C71"/>
    <w:rsid w:val="00A3239C"/>
    <w:rsid w:val="00D61DB0"/>
    <w:rsid w:val="00E12FE8"/>
    <w:rsid w:val="00FE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846E0"/>
  <w15:chartTrackingRefBased/>
  <w15:docId w15:val="{2E87ADF2-F419-4016-B682-DA55DE91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5</cp:revision>
  <dcterms:created xsi:type="dcterms:W3CDTF">2020-02-18T06:39:00Z</dcterms:created>
  <dcterms:modified xsi:type="dcterms:W3CDTF">2021-01-05T08:40:00Z</dcterms:modified>
</cp:coreProperties>
</file>