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ajorEastAsia" w:hAnsiTheme="majorEastAsia" w:eastAsiaTheme="majorEastAsia"/>
          <w:sz w:val="22"/>
        </w:rPr>
      </w:pPr>
      <w:r>
        <w:rPr>
          <w:rFonts w:hint="eastAsia" w:asciiTheme="majorEastAsia" w:hAnsiTheme="majorEastAsia" w:eastAsiaTheme="majorEastAsia"/>
          <w:sz w:val="22"/>
        </w:rPr>
        <w:t>様式第２０　完了実績報告書</w:t>
      </w:r>
    </w:p>
    <w:p>
      <w:pPr>
        <w:pStyle w:val="16"/>
        <w:suppressAutoHyphens w:val="0"/>
        <w:kinsoku w:val="1"/>
        <w:wordWrap w:val="1"/>
        <w:overflowPunct w:val="1"/>
        <w:autoSpaceDE w:val="1"/>
        <w:autoSpaceDN w:val="1"/>
        <w:adjustRightInd w:val="1"/>
        <w:rPr>
          <w:rFonts w:hint="default" w:asciiTheme="majorEastAsia" w:hAnsiTheme="majorEastAsia" w:eastAsiaTheme="majorEastAsia"/>
          <w:sz w:val="22"/>
        </w:rPr>
      </w:pPr>
    </w:p>
    <w:p>
      <w:pPr>
        <w:pStyle w:val="16"/>
        <w:suppressAutoHyphens w:val="0"/>
        <w:kinsoku w:val="1"/>
        <w:wordWrap w:val="1"/>
        <w:overflowPunct w:val="1"/>
        <w:autoSpaceDE w:val="1"/>
        <w:autoSpaceDN w:val="1"/>
        <w:adjustRightInd w:val="1"/>
        <w:rPr>
          <w:rFonts w:hint="default" w:asciiTheme="majorEastAsia" w:hAnsiTheme="majorEastAsia" w:eastAsiaTheme="majorEastAsia"/>
          <w:sz w:val="22"/>
        </w:rPr>
      </w:pPr>
      <w:r>
        <w:rPr>
          <w:rFonts w:hint="eastAsia" w:asciiTheme="majorEastAsia" w:hAnsiTheme="majorEastAsia" w:eastAsiaTheme="majorEastAsia"/>
          <w:sz w:val="22"/>
        </w:rPr>
        <w:t>様式２０－１</w:t>
      </w:r>
    </w:p>
    <w:p>
      <w:pPr>
        <w:pStyle w:val="16"/>
        <w:suppressAutoHyphens w:val="0"/>
        <w:kinsoku w:val="1"/>
        <w:overflowPunct w:val="1"/>
        <w:autoSpaceDE w:val="1"/>
        <w:autoSpaceDN w:val="1"/>
        <w:adjustRightInd w:val="1"/>
        <w:jc w:val="right"/>
        <w:rPr>
          <w:rFonts w:hint="default" w:asciiTheme="majorEastAsia" w:hAnsiTheme="majorEastAsia" w:eastAsiaTheme="majorEastAsia"/>
          <w:sz w:val="22"/>
        </w:rPr>
      </w:pPr>
      <w:r>
        <w:rPr>
          <w:rFonts w:hint="eastAsia" w:asciiTheme="majorEastAsia" w:hAnsiTheme="majorEastAsia" w:eastAsiaTheme="majorEastAsia"/>
          <w:sz w:val="22"/>
        </w:rPr>
        <w:t>番　　　　　号</w:t>
      </w:r>
    </w:p>
    <w:p>
      <w:pPr>
        <w:pStyle w:val="16"/>
        <w:suppressAutoHyphens w:val="0"/>
        <w:kinsoku w:val="1"/>
        <w:overflowPunct w:val="1"/>
        <w:autoSpaceDE w:val="1"/>
        <w:autoSpaceDN w:val="1"/>
        <w:adjustRightInd w:val="1"/>
        <w:jc w:val="right"/>
        <w:rPr>
          <w:rFonts w:hint="default" w:asciiTheme="majorEastAsia" w:hAnsiTheme="majorEastAsia" w:eastAsiaTheme="majorEastAsia"/>
          <w:sz w:val="22"/>
        </w:rPr>
      </w:pPr>
      <w:r>
        <w:rPr>
          <w:rFonts w:hint="eastAsia" w:asciiTheme="majorEastAsia" w:hAnsiTheme="majorEastAsia" w:eastAsiaTheme="majorEastAsia"/>
          <w:sz w:val="22"/>
        </w:rPr>
        <w:t>年　　月　　日</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地方整備局長等</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都道府県知事　　殿</w:t>
      </w:r>
    </w:p>
    <w:p>
      <w:pPr>
        <w:pStyle w:val="15"/>
        <w:suppressAutoHyphens w:val="0"/>
        <w:kinsoku w:val="1"/>
        <w:overflowPunct w:val="1"/>
        <w:autoSpaceDE w:val="1"/>
        <w:autoSpaceDN w:val="1"/>
        <w:adjustRightInd w:val="1"/>
        <w:spacing w:line="316" w:lineRule="exact"/>
        <w:jc w:val="right"/>
        <w:rPr>
          <w:rFonts w:hint="default" w:asciiTheme="majorEastAsia" w:hAnsiTheme="majorEastAsia" w:eastAsiaTheme="majorEastAsia"/>
          <w:sz w:val="22"/>
        </w:rPr>
      </w:pPr>
      <w:r>
        <w:rPr>
          <w:rFonts w:hint="eastAsia" w:asciiTheme="majorEastAsia" w:hAnsiTheme="majorEastAsia" w:eastAsiaTheme="majorEastAsia"/>
          <w:sz w:val="22"/>
        </w:rPr>
        <w:t>報　告　者</w:t>
      </w:r>
      <w:r>
        <w:rPr>
          <w:rFonts w:hint="eastAsia" w:ascii="ＭＳ ゴシック" w:hAnsi="ＭＳ ゴシック"/>
          <w:sz w:val="22"/>
        </w:rPr>
        <w:t>　　　　　　</w:t>
      </w:r>
      <w:r>
        <w:rPr>
          <w:rFonts w:hint="eastAsia" w:asciiTheme="majorEastAsia" w:hAnsiTheme="majorEastAsia" w:eastAsiaTheme="majorEastAsia"/>
          <w:sz w:val="22"/>
        </w:rPr>
        <w:t>印</w:t>
      </w: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令和○○年度</w:t>
      </w:r>
      <w:bookmarkStart w:id="0" w:name="_GoBack"/>
      <w:bookmarkEnd w:id="0"/>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災害時拠点強靱化緊急促進事業完了実績報告書</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　令和　　年　　月　　日付け　　　第　　号外　　件をもって補助金の交付決定を受けた標記の事業が完了したので、補助金等に係る予算の執行の適正化に関する法律第１４条前段の規定により関係書類を添え下記のとおり報告します。</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p>
    <w:p>
      <w:pPr>
        <w:pStyle w:val="15"/>
        <w:suppressAutoHyphens w:val="0"/>
        <w:kinsoku w:val="1"/>
        <w:wordWrap w:val="1"/>
        <w:overflowPunct w:val="1"/>
        <w:autoSpaceDE w:val="1"/>
        <w:autoSpaceDN w:val="1"/>
        <w:adjustRightInd w:val="1"/>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記</w:t>
      </w:r>
    </w:p>
    <w:p>
      <w:pPr>
        <w:pStyle w:val="15"/>
        <w:suppressAutoHyphens w:val="0"/>
        <w:kinsoku w:val="1"/>
        <w:overflowPunct w:val="1"/>
        <w:autoSpaceDE w:val="1"/>
        <w:autoSpaceDN w:val="1"/>
        <w:adjustRightInd w:val="1"/>
        <w:spacing w:line="316" w:lineRule="exact"/>
        <w:jc w:val="right"/>
        <w:rPr>
          <w:rFonts w:hint="default" w:asciiTheme="majorEastAsia" w:hAnsiTheme="majorEastAsia" w:eastAsiaTheme="majorEastAsia"/>
          <w:sz w:val="22"/>
        </w:rPr>
      </w:pPr>
      <w:r>
        <w:rPr>
          <w:rFonts w:hint="eastAsia" w:asciiTheme="majorEastAsia" w:hAnsiTheme="majorEastAsia" w:eastAsiaTheme="majorEastAsia"/>
          <w:sz w:val="22"/>
        </w:rPr>
        <w:t>（単位：円）　</w:t>
      </w:r>
    </w:p>
    <w:tbl>
      <w:tblPr>
        <w:tblStyle w:val="11"/>
        <w:tblW w:w="0" w:type="auto"/>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566"/>
        <w:gridCol w:w="1635"/>
        <w:gridCol w:w="1559"/>
        <w:gridCol w:w="1276"/>
        <w:gridCol w:w="2424"/>
        <w:gridCol w:w="840"/>
      </w:tblGrid>
      <w:tr>
        <w:trPr>
          <w:trHeight w:val="549" w:hRule="atLeast"/>
        </w:trPr>
        <w:tc>
          <w:tcPr>
            <w:tcW w:w="1566"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15"/>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地区名</w:t>
            </w:r>
          </w:p>
        </w:tc>
        <w:tc>
          <w:tcPr>
            <w:tcW w:w="3194"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交付決定通知額及び精算額</w:t>
            </w:r>
          </w:p>
        </w:tc>
        <w:tc>
          <w:tcPr>
            <w:tcW w:w="1276"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15"/>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残存物件</w:t>
            </w:r>
          </w:p>
          <w:p>
            <w:pPr>
              <w:pStyle w:val="15"/>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継続使用</w:t>
            </w:r>
          </w:p>
          <w:p>
            <w:pPr>
              <w:pStyle w:val="15"/>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申請件数</w:t>
            </w:r>
          </w:p>
          <w:p>
            <w:pPr>
              <w:pStyle w:val="15"/>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（件）</w:t>
            </w:r>
          </w:p>
        </w:tc>
        <w:tc>
          <w:tcPr>
            <w:tcW w:w="2424"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15"/>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補助事業の</w:t>
            </w:r>
          </w:p>
          <w:p>
            <w:pPr>
              <w:pStyle w:val="15"/>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実施期間及び成果</w:t>
            </w:r>
          </w:p>
        </w:tc>
        <w:tc>
          <w:tcPr>
            <w:tcW w:w="840" w:type="dxa"/>
            <w:vMerge w:val="restart"/>
            <w:tcBorders>
              <w:top w:val="single" w:color="auto" w:sz="4" w:space="0"/>
              <w:left w:val="none" w:color="auto" w:sz="0"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uppressAutoHyphens w:val="0"/>
              <w:kinsoku w:val="1"/>
              <w:wordWrap w:val="1"/>
              <w:overflowPunct w:val="1"/>
              <w:autoSpaceDE w:val="1"/>
              <w:autoSpaceDN w:val="1"/>
              <w:adjustRightInd w:val="1"/>
              <w:jc w:val="center"/>
              <w:textAlignment w:val="auto"/>
              <w:rPr>
                <w:rFonts w:hint="default" w:asciiTheme="majorEastAsia" w:hAnsiTheme="majorEastAsia" w:eastAsiaTheme="majorEastAsia"/>
                <w:sz w:val="22"/>
              </w:rPr>
            </w:pPr>
            <w:r>
              <w:rPr>
                <w:rFonts w:hint="eastAsia" w:asciiTheme="majorEastAsia" w:hAnsiTheme="majorEastAsia" w:eastAsiaTheme="majorEastAsia"/>
                <w:sz w:val="22"/>
              </w:rPr>
              <w:t>摘要</w:t>
            </w:r>
          </w:p>
        </w:tc>
      </w:tr>
      <w:tr>
        <w:trPr>
          <w:trHeight w:val="968" w:hRule="atLeast"/>
        </w:trPr>
        <w:tc>
          <w:tcPr>
            <w:tcW w:w="1566"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auto"/>
              <w:rPr>
                <w:rFonts w:hint="default" w:asciiTheme="majorEastAsia" w:hAnsiTheme="majorEastAsia" w:eastAsiaTheme="majorEastAsia"/>
                <w:sz w:val="22"/>
              </w:rPr>
            </w:pPr>
          </w:p>
        </w:tc>
        <w:tc>
          <w:tcPr>
            <w:tcW w:w="163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交付決定額</w:t>
            </w:r>
          </w:p>
        </w:tc>
        <w:tc>
          <w:tcPr>
            <w:tcW w:w="155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316" w:lineRule="exact"/>
              <w:jc w:val="center"/>
              <w:rPr>
                <w:rFonts w:hint="default" w:asciiTheme="majorEastAsia" w:hAnsiTheme="majorEastAsia" w:eastAsiaTheme="majorEastAsia"/>
                <w:sz w:val="22"/>
              </w:rPr>
            </w:pPr>
            <w:r>
              <w:rPr>
                <w:rFonts w:hint="eastAsia" w:asciiTheme="majorEastAsia" w:hAnsiTheme="majorEastAsia" w:eastAsiaTheme="majorEastAsia"/>
                <w:sz w:val="22"/>
              </w:rPr>
              <w:t>精算補助金額</w:t>
            </w:r>
          </w:p>
        </w:tc>
        <w:tc>
          <w:tcPr>
            <w:tcW w:w="1276"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auto"/>
              <w:rPr>
                <w:rFonts w:hint="default" w:asciiTheme="majorEastAsia" w:hAnsiTheme="majorEastAsia" w:eastAsiaTheme="majorEastAsia"/>
                <w:sz w:val="22"/>
              </w:rPr>
            </w:pPr>
          </w:p>
        </w:tc>
        <w:tc>
          <w:tcPr>
            <w:tcW w:w="2424"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auto"/>
              <w:rPr>
                <w:rFonts w:hint="default" w:asciiTheme="majorEastAsia" w:hAnsiTheme="majorEastAsia" w:eastAsiaTheme="majorEastAsia"/>
                <w:sz w:val="22"/>
              </w:rPr>
            </w:pPr>
          </w:p>
        </w:tc>
        <w:tc>
          <w:tcPr>
            <w:tcW w:w="840" w:type="dxa"/>
            <w:vMerge w:val="continue"/>
            <w:tcBorders>
              <w:top w:val="none" w:color="auto" w:sz="0" w:space="0"/>
              <w:left w:val="none" w:color="auto" w:sz="0"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suppressAutoHyphens w:val="0"/>
              <w:kinsoku w:val="1"/>
              <w:wordWrap w:val="1"/>
              <w:overflowPunct w:val="1"/>
              <w:autoSpaceDE w:val="1"/>
              <w:autoSpaceDN w:val="1"/>
              <w:adjustRightInd w:val="1"/>
              <w:textAlignment w:val="auto"/>
              <w:rPr>
                <w:rFonts w:hint="default" w:asciiTheme="majorEastAsia" w:hAnsiTheme="majorEastAsia" w:eastAsiaTheme="majorEastAsia"/>
                <w:sz w:val="22"/>
              </w:rPr>
            </w:pPr>
          </w:p>
        </w:tc>
      </w:tr>
      <w:tr>
        <w:trPr>
          <w:trHeight w:val="1313" w:hRule="atLeast"/>
        </w:trPr>
        <w:tc>
          <w:tcPr>
            <w:tcW w:w="1566"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5"/>
              <w:spacing w:line="316" w:lineRule="exact"/>
              <w:rPr>
                <w:rFonts w:hint="default" w:asciiTheme="majorEastAsia" w:hAnsiTheme="majorEastAsia" w:eastAsiaTheme="majorEastAsia"/>
                <w:sz w:val="22"/>
              </w:rPr>
            </w:pPr>
          </w:p>
          <w:p>
            <w:pPr>
              <w:pStyle w:val="15"/>
              <w:spacing w:line="316" w:lineRule="exact"/>
              <w:rPr>
                <w:rFonts w:hint="default" w:asciiTheme="majorEastAsia" w:hAnsiTheme="majorEastAsia" w:eastAsiaTheme="majorEastAsia"/>
                <w:sz w:val="22"/>
              </w:rPr>
            </w:pPr>
          </w:p>
          <w:p>
            <w:pPr>
              <w:pStyle w:val="15"/>
              <w:spacing w:line="316" w:lineRule="exact"/>
              <w:rPr>
                <w:rFonts w:hint="default" w:asciiTheme="majorEastAsia" w:hAnsiTheme="majorEastAsia" w:eastAsiaTheme="majorEastAsia"/>
                <w:sz w:val="22"/>
              </w:rPr>
            </w:pPr>
          </w:p>
        </w:tc>
        <w:tc>
          <w:tcPr>
            <w:tcW w:w="1635"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5"/>
              <w:spacing w:line="316" w:lineRule="exact"/>
              <w:rPr>
                <w:rFonts w:hint="default" w:asciiTheme="majorEastAsia" w:hAnsiTheme="majorEastAsia" w:eastAsiaTheme="majorEastAsia"/>
                <w:sz w:val="22"/>
              </w:rPr>
            </w:pPr>
          </w:p>
          <w:p>
            <w:pPr>
              <w:pStyle w:val="15"/>
              <w:spacing w:line="316" w:lineRule="exact"/>
              <w:rPr>
                <w:rFonts w:hint="default" w:asciiTheme="majorEastAsia" w:hAnsiTheme="majorEastAsia" w:eastAsiaTheme="majorEastAsia"/>
                <w:sz w:val="22"/>
              </w:rPr>
            </w:pPr>
          </w:p>
          <w:p>
            <w:pPr>
              <w:pStyle w:val="15"/>
              <w:spacing w:line="316" w:lineRule="exact"/>
              <w:rPr>
                <w:rFonts w:hint="default" w:asciiTheme="majorEastAsia" w:hAnsiTheme="majorEastAsia" w:eastAsiaTheme="majorEastAsia"/>
                <w:sz w:val="22"/>
              </w:rPr>
            </w:pPr>
          </w:p>
        </w:tc>
        <w:tc>
          <w:tcPr>
            <w:tcW w:w="1559"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5"/>
              <w:spacing w:line="316" w:lineRule="exact"/>
              <w:rPr>
                <w:rFonts w:hint="default" w:asciiTheme="majorEastAsia" w:hAnsiTheme="majorEastAsia" w:eastAsiaTheme="majorEastAsia"/>
                <w:sz w:val="22"/>
              </w:rPr>
            </w:pPr>
          </w:p>
          <w:p>
            <w:pPr>
              <w:pStyle w:val="15"/>
              <w:spacing w:line="316" w:lineRule="exact"/>
              <w:rPr>
                <w:rFonts w:hint="default" w:asciiTheme="majorEastAsia" w:hAnsiTheme="majorEastAsia" w:eastAsiaTheme="majorEastAsia"/>
                <w:sz w:val="22"/>
              </w:rPr>
            </w:pPr>
          </w:p>
          <w:p>
            <w:pPr>
              <w:pStyle w:val="15"/>
              <w:spacing w:line="316" w:lineRule="exact"/>
              <w:rPr>
                <w:rFonts w:hint="default" w:asciiTheme="majorEastAsia" w:hAnsiTheme="majorEastAsia" w:eastAsiaTheme="majorEastAsia"/>
                <w:sz w:val="22"/>
              </w:rPr>
            </w:pPr>
          </w:p>
        </w:tc>
        <w:tc>
          <w:tcPr>
            <w:tcW w:w="1276"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5"/>
              <w:spacing w:line="316" w:lineRule="exact"/>
              <w:rPr>
                <w:rFonts w:hint="default" w:asciiTheme="majorEastAsia" w:hAnsiTheme="majorEastAsia" w:eastAsiaTheme="majorEastAsia"/>
                <w:sz w:val="22"/>
              </w:rPr>
            </w:pPr>
          </w:p>
          <w:p>
            <w:pPr>
              <w:pStyle w:val="15"/>
              <w:spacing w:line="316" w:lineRule="exact"/>
              <w:rPr>
                <w:rFonts w:hint="default" w:asciiTheme="majorEastAsia" w:hAnsiTheme="majorEastAsia" w:eastAsiaTheme="majorEastAsia"/>
                <w:sz w:val="22"/>
              </w:rPr>
            </w:pPr>
          </w:p>
          <w:p>
            <w:pPr>
              <w:pStyle w:val="15"/>
              <w:spacing w:line="316" w:lineRule="exact"/>
              <w:rPr>
                <w:rFonts w:hint="default" w:asciiTheme="majorEastAsia" w:hAnsiTheme="majorEastAsia" w:eastAsiaTheme="majorEastAsia"/>
                <w:sz w:val="22"/>
              </w:rPr>
            </w:pPr>
          </w:p>
        </w:tc>
        <w:tc>
          <w:tcPr>
            <w:tcW w:w="2424"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5"/>
              <w:spacing w:line="316" w:lineRule="exact"/>
              <w:rPr>
                <w:rFonts w:hint="default" w:asciiTheme="majorEastAsia" w:hAnsiTheme="majorEastAsia" w:eastAsiaTheme="majorEastAsia"/>
                <w:sz w:val="22"/>
              </w:rPr>
            </w:pPr>
          </w:p>
          <w:p>
            <w:pPr>
              <w:pStyle w:val="15"/>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完了箇所別精算額表のとおり</w:t>
            </w:r>
          </w:p>
        </w:tc>
        <w:tc>
          <w:tcPr>
            <w:tcW w:w="840" w:type="dxa"/>
            <w:tcBorders>
              <w:top w:val="single" w:color="auto" w:sz="4" w:space="0"/>
              <w:left w:val="none" w:color="auto" w:sz="0"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suppressAutoHyphens w:val="0"/>
              <w:kinsoku w:val="1"/>
              <w:wordWrap w:val="1"/>
              <w:overflowPunct w:val="1"/>
              <w:autoSpaceDE w:val="1"/>
              <w:autoSpaceDN w:val="1"/>
              <w:adjustRightInd w:val="1"/>
              <w:textAlignment w:val="auto"/>
              <w:rPr>
                <w:rFonts w:hint="default" w:asciiTheme="majorEastAsia" w:hAnsiTheme="majorEastAsia" w:eastAsiaTheme="majorEastAsia"/>
                <w:sz w:val="22"/>
              </w:rPr>
            </w:pPr>
          </w:p>
          <w:p>
            <w:pPr>
              <w:pStyle w:val="0"/>
              <w:widowControl w:val="1"/>
              <w:suppressAutoHyphens w:val="0"/>
              <w:kinsoku w:val="1"/>
              <w:wordWrap w:val="1"/>
              <w:overflowPunct w:val="1"/>
              <w:autoSpaceDE w:val="1"/>
              <w:autoSpaceDN w:val="1"/>
              <w:adjustRightInd w:val="1"/>
              <w:textAlignment w:val="auto"/>
              <w:rPr>
                <w:rFonts w:hint="default" w:asciiTheme="majorEastAsia" w:hAnsiTheme="majorEastAsia" w:eastAsiaTheme="majorEastAsia"/>
                <w:sz w:val="22"/>
              </w:rPr>
            </w:pPr>
          </w:p>
        </w:tc>
      </w:tr>
    </w:tbl>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（記載要領）</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　１．本様式に様式２０－２から様式２０－１０までを併せたものが報告書である。</w:t>
      </w:r>
    </w:p>
    <w:p>
      <w:pPr>
        <w:pStyle w:val="15"/>
        <w:suppressAutoHyphens w:val="0"/>
        <w:kinsoku w:val="1"/>
        <w:wordWrap w:val="1"/>
        <w:overflowPunct w:val="1"/>
        <w:autoSpaceDE w:val="1"/>
        <w:autoSpaceDN w:val="1"/>
        <w:adjustRightInd w:val="1"/>
        <w:spacing w:line="316" w:lineRule="exact"/>
        <w:rPr>
          <w:rFonts w:hint="default" w:asciiTheme="majorEastAsia" w:hAnsiTheme="majorEastAsia" w:eastAsiaTheme="majorEastAsia"/>
          <w:sz w:val="22"/>
        </w:rPr>
      </w:pPr>
      <w:r>
        <w:rPr>
          <w:rFonts w:hint="eastAsia" w:asciiTheme="majorEastAsia" w:hAnsiTheme="majorEastAsia" w:eastAsiaTheme="majorEastAsia"/>
          <w:sz w:val="22"/>
        </w:rPr>
        <w:t>　２．標題の年度は、事業年度を記載する。</w:t>
      </w:r>
    </w:p>
    <w:p>
      <w:pPr>
        <w:pStyle w:val="15"/>
        <w:suppressAutoHyphens w:val="0"/>
        <w:kinsoku w:val="1"/>
        <w:wordWrap w:val="1"/>
        <w:overflowPunct w:val="1"/>
        <w:autoSpaceDE w:val="1"/>
        <w:autoSpaceDN w:val="1"/>
        <w:adjustRightInd w:val="1"/>
        <w:spacing w:line="316" w:lineRule="exact"/>
        <w:ind w:left="480" w:hanging="480"/>
        <w:rPr>
          <w:rFonts w:hint="default" w:asciiTheme="majorEastAsia" w:hAnsiTheme="majorEastAsia" w:eastAsiaTheme="majorEastAsia"/>
          <w:sz w:val="22"/>
        </w:rPr>
      </w:pPr>
      <w:r>
        <w:rPr>
          <w:rFonts w:hint="eastAsia" w:asciiTheme="majorEastAsia" w:hAnsiTheme="majorEastAsia" w:eastAsiaTheme="majorEastAsia"/>
          <w:sz w:val="22"/>
        </w:rPr>
        <w:t>　３．本文冒頭の補助決定通知の年月日及び番号は、当該報告に係る最も早い補助決定のものを代表として記載する。</w:t>
      </w:r>
    </w:p>
    <w:p>
      <w:pPr>
        <w:pStyle w:val="15"/>
        <w:suppressAutoHyphens w:val="0"/>
        <w:kinsoku w:val="1"/>
        <w:wordWrap w:val="1"/>
        <w:overflowPunct w:val="1"/>
        <w:autoSpaceDE w:val="1"/>
        <w:autoSpaceDN w:val="1"/>
        <w:adjustRightInd w:val="1"/>
        <w:spacing w:line="316" w:lineRule="exact"/>
        <w:ind w:left="480" w:hanging="480"/>
        <w:rPr>
          <w:rFonts w:hint="default" w:asciiTheme="majorEastAsia" w:hAnsiTheme="majorEastAsia" w:eastAsiaTheme="majorEastAsia"/>
          <w:sz w:val="22"/>
        </w:rPr>
      </w:pPr>
      <w:r>
        <w:rPr>
          <w:rFonts w:hint="eastAsia" w:asciiTheme="majorEastAsia" w:hAnsiTheme="majorEastAsia" w:eastAsiaTheme="majorEastAsia"/>
          <w:sz w:val="22"/>
        </w:rPr>
        <w:t>　４．補助金交付決定額は、様式２０－２「完了実績総括表」のうち補助決定内容欄の補助金額の歳出予算に基づき交付決定されたものを記載する。</w:t>
      </w:r>
    </w:p>
    <w:p>
      <w:pPr>
        <w:pStyle w:val="15"/>
        <w:suppressAutoHyphens w:val="0"/>
        <w:kinsoku w:val="1"/>
        <w:wordWrap w:val="1"/>
        <w:overflowPunct w:val="1"/>
        <w:autoSpaceDE w:val="1"/>
        <w:autoSpaceDN w:val="1"/>
        <w:adjustRightInd w:val="1"/>
        <w:spacing w:line="316" w:lineRule="exact"/>
        <w:ind w:left="480" w:hanging="480"/>
        <w:rPr>
          <w:rFonts w:hint="default" w:asciiTheme="majorEastAsia" w:hAnsiTheme="majorEastAsia" w:eastAsiaTheme="majorEastAsia"/>
          <w:sz w:val="22"/>
        </w:rPr>
      </w:pPr>
      <w:r>
        <w:rPr>
          <w:rFonts w:hint="eastAsia" w:asciiTheme="majorEastAsia" w:hAnsiTheme="majorEastAsia" w:eastAsiaTheme="majorEastAsia"/>
          <w:sz w:val="22"/>
        </w:rPr>
        <w:t>　５．残存物件継続使用申請件数欄は、最下段に残存物件通知に定める残存物件調書の翌年度継続使用分の合計件数を記載し、国土交通大臣あての申請件数を上段（　）書で記載する。</w:t>
      </w:r>
    </w:p>
    <w:p>
      <w:pPr>
        <w:pStyle w:val="15"/>
        <w:suppressAutoHyphens w:val="0"/>
        <w:kinsoku w:val="1"/>
        <w:wordWrap w:val="1"/>
        <w:overflowPunct w:val="1"/>
        <w:autoSpaceDE w:val="1"/>
        <w:autoSpaceDN w:val="1"/>
        <w:adjustRightInd w:val="1"/>
        <w:spacing w:line="316" w:lineRule="exact"/>
        <w:ind w:left="480" w:hanging="480"/>
        <w:rPr>
          <w:rFonts w:hint="default" w:asciiTheme="majorEastAsia" w:hAnsiTheme="majorEastAsia" w:eastAsiaTheme="majorEastAsia"/>
          <w:sz w:val="22"/>
        </w:rPr>
      </w:pPr>
      <w:r>
        <w:rPr>
          <w:rFonts w:hint="eastAsia" w:asciiTheme="majorEastAsia" w:hAnsiTheme="majorEastAsia" w:eastAsiaTheme="majorEastAsia"/>
          <w:sz w:val="22"/>
        </w:rPr>
        <w:t>　６．摘要欄には、</w:t>
      </w:r>
      <w:r>
        <w:rPr>
          <w:rFonts w:hint="eastAsia" w:ascii="ＭＳ ゴシック" w:hAnsi="ＭＳ ゴシック"/>
          <w:sz w:val="22"/>
        </w:rPr>
        <w:t>基礎事業を活用するものにあっては、その基礎事業の名称</w:t>
      </w:r>
      <w:r>
        <w:rPr>
          <w:rFonts w:hint="eastAsia" w:asciiTheme="majorEastAsia" w:hAnsiTheme="majorEastAsia" w:eastAsiaTheme="majorEastAsia"/>
          <w:sz w:val="22"/>
        </w:rPr>
        <w:t>を記載すること。</w:t>
      </w:r>
    </w:p>
    <w:p>
      <w:pPr>
        <w:pStyle w:val="15"/>
        <w:suppressAutoHyphens w:val="0"/>
        <w:kinsoku w:val="1"/>
        <w:wordWrap w:val="1"/>
        <w:overflowPunct w:val="1"/>
        <w:autoSpaceDE w:val="1"/>
        <w:autoSpaceDN w:val="1"/>
        <w:adjustRightInd w:val="1"/>
        <w:spacing w:line="316" w:lineRule="exact"/>
        <w:ind w:left="480" w:hanging="480"/>
        <w:rPr>
          <w:rFonts w:hint="default" w:asciiTheme="majorEastAsia" w:hAnsiTheme="majorEastAsia" w:eastAsiaTheme="majorEastAsia"/>
          <w:sz w:val="22"/>
        </w:rPr>
      </w:pPr>
      <w:r>
        <w:rPr>
          <w:rFonts w:hint="eastAsia" w:asciiTheme="majorEastAsia" w:hAnsiTheme="majorEastAsia" w:eastAsiaTheme="majorEastAsia"/>
          <w:sz w:val="22"/>
        </w:rPr>
        <w:t>　７．指導監督事務費については、地区名欄に「指導監督事務費」と記載すること。</w:t>
      </w:r>
    </w:p>
    <w:p>
      <w:pPr>
        <w:pStyle w:val="15"/>
        <w:suppressAutoHyphens w:val="0"/>
        <w:kinsoku w:val="1"/>
        <w:wordWrap w:val="1"/>
        <w:overflowPunct w:val="1"/>
        <w:autoSpaceDE w:val="1"/>
        <w:autoSpaceDN w:val="1"/>
        <w:adjustRightInd w:val="1"/>
        <w:spacing w:line="316" w:lineRule="exact"/>
        <w:ind w:left="480" w:hanging="480"/>
        <w:rPr>
          <w:rFonts w:hint="default" w:asciiTheme="majorEastAsia" w:hAnsiTheme="majorEastAsia" w:eastAsiaTheme="majorEastAsia"/>
          <w:sz w:val="22"/>
        </w:rPr>
      </w:pPr>
    </w:p>
    <w:p>
      <w:pPr>
        <w:pStyle w:val="0"/>
        <w:widowControl w:val="1"/>
        <w:suppressAutoHyphens w:val="0"/>
        <w:kinsoku w:val="1"/>
        <w:wordWrap w:val="1"/>
        <w:overflowPunct w:val="1"/>
        <w:autoSpaceDE w:val="1"/>
        <w:autoSpaceDN w:val="1"/>
        <w:adjustRightInd w:val="1"/>
        <w:textAlignment w:val="auto"/>
        <w:rPr>
          <w:rFonts w:hint="default" w:asciiTheme="majorEastAsia" w:hAnsiTheme="majorEastAsia" w:eastAsiaTheme="majorEastAsia"/>
          <w:spacing w:val="12"/>
          <w:sz w:val="22"/>
        </w:rPr>
      </w:pPr>
    </w:p>
    <w:sectPr>
      <w:type w:val="continuous"/>
      <w:pgSz w:w="11906" w:h="16838"/>
      <w:pgMar w:top="1416" w:right="1136" w:bottom="1136" w:left="1134" w:header="720" w:footer="720" w:gutter="0"/>
      <w:pgNumType w:start="1"/>
      <w:cols w:space="720"/>
      <w:noEndnote w:val="1"/>
      <w:textDirection w:val="lrTb"/>
      <w:docGrid w:type="linesAndChars" w:linePitch="31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hyphenationZone w:val="0"/>
  <w:drawingGridHorizontalSpacing w:val="1"/>
  <w:drawingGridVerticalSpacing w:val="316"/>
  <w:displayHorizontalDrawingGridEvery w:val="0"/>
  <w:doNotUseMarginsForDrawingGridOrigin/>
  <w:doNotShadeFormData/>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ゴシック" w:hAnsi="ＭＳ ゴシック" w:eastAsia="ＭＳ ゴシック"/>
        <w:color w:val="000000"/>
        <w:sz w:val="22"/>
      </w:rPr>
    </w:rPrDefault>
  </w:docDefaults>
  <w:style w:type="paragraph" w:styleId="0" w:default="1">
    <w:name w:val="Normal"/>
    <w:next w:val="0"/>
    <w:link w:val="0"/>
    <w:uiPriority w:val="0"/>
    <w:qFormat/>
    <w:pPr>
      <w:widowControl w:val="0"/>
      <w:suppressAutoHyphens w:val="1"/>
      <w:kinsoku w:val="0"/>
      <w:wordWrap w:val="0"/>
      <w:overflowPunct w:val="0"/>
      <w:autoSpaceDE w:val="0"/>
      <w:autoSpaceDN w:val="0"/>
      <w:adjustRightInd w:val="0"/>
      <w:textAlignment w:val="baseline"/>
    </w:pPr>
    <w:rPr>
      <w:rFonts w:ascii="Century" w:hAnsi="Century"/>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太郎文書スタイル)"/>
    <w:next w:val="15"/>
    <w:link w:val="0"/>
    <w:uiPriority w:val="0"/>
    <w:pPr>
      <w:widowControl w:val="0"/>
      <w:suppressAutoHyphens w:val="1"/>
      <w:kinsoku w:val="0"/>
      <w:wordWrap w:val="0"/>
      <w:overflowPunct w:val="0"/>
      <w:autoSpaceDE w:val="0"/>
      <w:autoSpaceDN w:val="0"/>
      <w:adjustRightInd w:val="0"/>
      <w:textAlignment w:val="baseline"/>
    </w:pPr>
    <w:rPr>
      <w:rFonts w:ascii="Century" w:hAnsi="Century"/>
      <w:sz w:val="24"/>
    </w:rPr>
  </w:style>
  <w:style w:type="paragraph" w:styleId="16" w:customStyle="1">
    <w:name w:val="一太郎"/>
    <w:next w:val="16"/>
    <w:link w:val="0"/>
    <w:uiPriority w:val="0"/>
    <w:pPr>
      <w:widowControl w:val="0"/>
      <w:suppressAutoHyphens w:val="1"/>
      <w:kinsoku w:val="0"/>
      <w:wordWrap w:val="0"/>
      <w:overflowPunct w:val="0"/>
      <w:autoSpaceDE w:val="0"/>
      <w:autoSpaceDN w:val="0"/>
      <w:adjustRightInd w:val="0"/>
      <w:spacing w:line="314" w:lineRule="exact"/>
      <w:textAlignment w:val="baseline"/>
    </w:pPr>
    <w:rPr>
      <w:rFonts w:ascii="ＭＳ 明朝" w:hAnsi="ＭＳ 明朝"/>
      <w:spacing w:val="12"/>
      <w:sz w:val="24"/>
    </w:rPr>
  </w:style>
  <w:style w:type="character" w:styleId="17" w:customStyle="1">
    <w:name w:val="脚注(標準)"/>
    <w:next w:val="17"/>
    <w:link w:val="0"/>
    <w:uiPriority w:val="0"/>
    <w:rPr>
      <w:sz w:val="24"/>
      <w:vertAlign w:val="superscript"/>
    </w:rPr>
  </w:style>
  <w:style w:type="character" w:styleId="18" w:customStyle="1">
    <w:name w:val="脚注ｴﾘｱ(標準)"/>
    <w:next w:val="18"/>
    <w:link w:val="0"/>
    <w:uiPriority w:val="0"/>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rPr>
      <w:rFonts w:ascii="Century" w:hAnsi="Century"/>
      <w:color w:val="000000"/>
      <w:kern w:val="0"/>
      <w:sz w:val="24"/>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rPr>
      <w:rFonts w:ascii="Century" w:hAnsi="Century"/>
      <w:color w:val="000000"/>
      <w:kern w:val="0"/>
      <w:sz w:val="24"/>
    </w:rPr>
  </w:style>
  <w:style w:type="character" w:styleId="23">
    <w:name w:val="annotation reference"/>
    <w:basedOn w:val="10"/>
    <w:next w:val="23"/>
    <w:link w:val="0"/>
    <w:uiPriority w:val="0"/>
    <w:semiHidden/>
    <w:rPr>
      <w:sz w:val="18"/>
    </w:rPr>
  </w:style>
  <w:style w:type="paragraph" w:styleId="24">
    <w:name w:val="annotation text"/>
    <w:basedOn w:val="0"/>
    <w:next w:val="24"/>
    <w:link w:val="25"/>
    <w:uiPriority w:val="0"/>
    <w:semiHidden/>
  </w:style>
  <w:style w:type="character" w:styleId="25" w:customStyle="1">
    <w:name w:val="コメント文字列 (文字)"/>
    <w:basedOn w:val="10"/>
    <w:next w:val="25"/>
    <w:link w:val="24"/>
    <w:uiPriority w:val="0"/>
    <w:rPr>
      <w:rFonts w:ascii="Century" w:hAnsi="Century"/>
      <w:sz w:val="24"/>
    </w:rPr>
  </w:style>
  <w:style w:type="paragraph" w:styleId="26">
    <w:name w:val="annotation subject"/>
    <w:basedOn w:val="24"/>
    <w:next w:val="24"/>
    <w:link w:val="27"/>
    <w:uiPriority w:val="0"/>
    <w:semiHidden/>
    <w:rPr>
      <w:b w:val="1"/>
    </w:rPr>
  </w:style>
  <w:style w:type="character" w:styleId="27" w:customStyle="1">
    <w:name w:val="コメント内容 (文字)"/>
    <w:basedOn w:val="25"/>
    <w:next w:val="27"/>
    <w:link w:val="26"/>
    <w:uiPriority w:val="0"/>
    <w:rPr>
      <w:b w:val="1"/>
    </w:rPr>
  </w:style>
  <w:style w:type="paragraph" w:styleId="28">
    <w:name w:val="Balloon Text"/>
    <w:basedOn w:val="0"/>
    <w:next w:val="28"/>
    <w:link w:val="29"/>
    <w:uiPriority w:val="0"/>
    <w:semiHidden/>
    <w:rPr>
      <w:rFonts w:asciiTheme="majorHAnsi" w:hAnsiTheme="majorHAnsi" w:eastAsiaTheme="majorEastAsia"/>
      <w:sz w:val="18"/>
    </w:rPr>
  </w:style>
  <w:style w:type="character" w:styleId="29" w:customStyle="1">
    <w:name w:val="吹き出し (文字)"/>
    <w:basedOn w:val="10"/>
    <w:next w:val="29"/>
    <w:link w:val="28"/>
    <w:uiPriority w:val="0"/>
    <w:rPr>
      <w:rFonts w:asciiTheme="majorHAnsi" w:hAnsiTheme="majorHAnsi" w:eastAsiaTheme="majorEastAsia"/>
      <w:sz w:val="18"/>
    </w:rPr>
  </w:style>
  <w:style w:type="character" w:styleId="30">
    <w:name w:val="footnote reference"/>
    <w:basedOn w:val="10"/>
    <w:next w:val="30"/>
    <w:link w:val="0"/>
    <w:uiPriority w:val="0"/>
    <w:semiHidden/>
    <w:rPr>
      <w:vertAlign w:val="superscript"/>
    </w:rPr>
  </w:style>
  <w:style w:type="character" w:styleId="31">
    <w:name w:val="endnote reference"/>
    <w:basedOn w:val="10"/>
    <w:next w:val="3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87</TotalTime>
  <Pages>1</Pages>
  <Words>577</Words>
  <Characters>105</Characters>
  <Application>JUST Note</Application>
  <Lines>1</Lines>
  <Paragraphs>1</Paragraphs>
  <Company>国土交通省</Company>
  <CharactersWithSpaces>681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行政情報化推進課</dc:creator>
  <cp:lastModifiedBy>金子 和彦</cp:lastModifiedBy>
  <cp:lastPrinted>2012-04-24T01:50:00Z</cp:lastPrinted>
  <dcterms:created xsi:type="dcterms:W3CDTF">2012-04-23T12:48:00Z</dcterms:created>
  <dcterms:modified xsi:type="dcterms:W3CDTF">2014-03-27T06:41:14Z</dcterms:modified>
  <cp:revision>14</cp:revision>
</cp:coreProperties>
</file>