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BF24" w14:textId="77777777" w:rsidR="00765FD1" w:rsidRDefault="00765FD1">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1BE47C0F" w14:textId="77777777" w:rsidR="00AC0A2E" w:rsidRDefault="00AC0A2E"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67C1381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7CB95EFE"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B83F09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w:t>
      </w:r>
      <w:r w:rsidR="00CB629F">
        <w:rPr>
          <w:rFonts w:ascii="ＭＳ ゴシック" w:hAnsi="ＭＳ ゴシック" w:hint="eastAsia"/>
          <w:sz w:val="21"/>
          <w:szCs w:val="21"/>
        </w:rPr>
        <w:t>索</w:t>
      </w:r>
      <w:r w:rsidRPr="00B127D1">
        <w:rPr>
          <w:rFonts w:ascii="ＭＳ ゴシック" w:hAnsi="ＭＳ ゴシック" w:hint="eastAsia"/>
          <w:sz w:val="21"/>
          <w:szCs w:val="21"/>
        </w:rPr>
        <w:t>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7"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8" w:name="_Hlk181409238"/>
                            <w:bookmarkStart w:id="9" w:name="_Hlk181409239"/>
                            <w:bookmarkStart w:id="10" w:name="_Hlk181409242"/>
                            <w:bookmarkStart w:id="11"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8"/>
                          <w:bookmarkEnd w:id="9"/>
                          <w:bookmarkEnd w:id="10"/>
                          <w:bookmarkEnd w:id="11"/>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805" w14:textId="77777777" w:rsidR="009D2BA9" w:rsidRDefault="009D2BA9" w:rsidP="00145913">
      <w:r>
        <w:separator/>
      </w:r>
    </w:p>
  </w:endnote>
  <w:endnote w:type="continuationSeparator" w:id="0">
    <w:p w14:paraId="6728D149" w14:textId="77777777" w:rsidR="009D2BA9" w:rsidRDefault="009D2BA9"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18E0" w14:textId="77777777" w:rsidR="009D2BA9" w:rsidRDefault="009D2BA9" w:rsidP="00145913">
      <w:r>
        <w:separator/>
      </w:r>
    </w:p>
  </w:footnote>
  <w:footnote w:type="continuationSeparator" w:id="0">
    <w:p w14:paraId="547C811B" w14:textId="77777777" w:rsidR="009D2BA9" w:rsidRDefault="009D2BA9"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2F1"/>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5FD1"/>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0A2E"/>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B629F"/>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25905</Words>
  <Characters>2432</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