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No.20</w:t>
      </w:r>
      <w:r>
        <w:rPr>
          <w:rFonts w:ascii="Meiryo UI" w:hAnsi="Meiryo UI" w:eastAsia="Meiryo UI"/>
        </w:rPr>
        <w:t xml:space="preserve"> </w:t>
      </w:r>
      <w:r>
        <w:rPr>
          <w:rFonts w:ascii="Meiryo UI" w:hAnsi="Meiryo UI" w:eastAsia="Meiryo UI"/>
        </w:rPr>
        <w:t>大森ゲレンデ</w:t>
      </w:r>
    </w:p>
    <w:p>
      <w:pPr/>
    </w:p>
    <w:p>
      <w:pPr/>
      <w:r>
        <w:rPr>
          <w:rFonts w:ascii="Meiryo UI" w:hAnsi="Meiryo UI" w:eastAsia="Meiryo UI"/>
        </w:rPr>
        <w:t xml:space="preserve">　大森ゲレンデはマルチ・レベル・エリアであるが、その下の方のレベルは若いスキーヤーを対象としている。ロングコースは横倉壁の頂上付近から始まり、大森クアトロの4人乗りスキーリフトが運行されている。大森の壁はコースの終了地点にあり、専門家には最適。勾配はきつく最大傾斜度は30°でモーグルコースもある。 他のコースも難度が高く、訪問者はコースのレベル表示に注意してください。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