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</w:p>
    <w:p>
      <w:pPr/>
      <w:r>
        <w:rPr>
          <w:rFonts w:ascii="Meiryo UI" w:hAnsi="Meiryo UI" w:eastAsia="Meiryo UI"/>
        </w:rPr>
        <w:t>比叡山延暦寺ができた頃、この地に荼枳尼天（吒枳尼天）が白雪の神狐の姿となってあらわれ、人々の罪や穢れを祓い浄め、福徳を与えたと言い伝えられている。このお社は故事に則って荼枳尼天（吒枳尼天）を本尊としてお祀りしている。荼枳尼天（吒枳尼天）は豊穣を司る神である大黒天の眷属ともされる。鬼女の一種でもあり、のちに神仏習合により農耕神である稲荷信仰と一体化する。諸願成就の霊験が著しいことでも知られ、公家による信仰が篤かった。立身出世や商売繁盛、家運隆昌などを願う人の参拝が絶えない。このお社の御朱印は文殊楼で受けられる。</w:t>
      </w:r>
    </w:p>
    <w:p>
      <w:pPr/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