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</w:rPr>
        <w:t>札場と下足場</w:t>
      </w:r>
    </w:p>
    <w:p>
      <w:pPr/>
    </w:p>
    <w:p>
      <w:pPr>
        <w:ind w:firstLine="220"/>
      </w:pPr>
      <w:r>
        <w:rPr>
          <w:rFonts w:ascii="Garamond" w:hAnsi="Garamond"/>
        </w:rPr>
        <w:t>木戸から入場すると、大きな土間が広がっています。右手には札を買うため札場（ふだば）があります。入場スペースの両脇には履物を脱ぐ場所があり、内木戸と呼ばれる中の入り口に上がると、下足番に履物を預け、下足番は預かった履物の鼻緒に紐をとおしてぶら下げておきます。下足番から履物の番号札を受け取れば、定められた席に着けるようになります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