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8FC" w14:textId="77777777" w:rsidR="009833AE" w:rsidRDefault="009833AE" w:rsidP="009833AE">
      <w:pPr>
        <w:tabs>
          <w:tab w:val="left" w:pos="284"/>
        </w:tabs>
        <w:spacing w:line="360" w:lineRule="exact"/>
        <w:rPr>
          <w:b/>
          <w:bCs/>
        </w:rPr>
      </w:pPr>
      <w:r>
        <w:rPr>
          <w:rFonts w:hint="eastAsia"/>
          <w:b/>
          <w:bCs/>
        </w:rPr>
        <w:t>阿留辺幾夜宇和</w:t>
      </w:r>
    </w:p>
    <w:p w14:paraId="5025527F" w14:textId="77777777" w:rsidR="009833AE" w:rsidRDefault="009833AE" w:rsidP="009833AE">
      <w:pPr>
        <w:tabs>
          <w:tab w:val="left" w:pos="284"/>
        </w:tabs>
        <w:spacing w:line="360" w:lineRule="exact"/>
      </w:pPr>
      <w:r>
        <w:rPr>
          <w:rFonts w:hint="eastAsia"/>
        </w:rPr>
        <w:t>明恵</w:t>
      </w:r>
      <w:r>
        <w:t>(1173~1232</w:t>
      </w:r>
      <w:r>
        <w:rPr>
          <w:rFonts w:hint="eastAsia"/>
        </w:rPr>
        <w:t>年</w:t>
      </w:r>
      <w:r>
        <w:t>)</w:t>
      </w:r>
      <w:r>
        <w:rPr>
          <w:rFonts w:hint="eastAsia"/>
        </w:rPr>
        <w:t>が書いたこの木簡には様々な修道生活の習慣や決まり事が記されている。木簡は事細かに記載されており、礼儀作法としきたりに対する明恵の厳しい信奉を反映している。題名の阿留辺幾夜宇和は「あるべきようにあれ」という意味である。</w:t>
      </w:r>
    </w:p>
    <w:p w14:paraId="42DAC201" w14:textId="77777777" w:rsidR="009833AE" w:rsidRDefault="009833AE" w:rsidP="009833AE">
      <w:pPr>
        <w:tabs>
          <w:tab w:val="left" w:pos="284"/>
        </w:tabs>
        <w:spacing w:line="360" w:lineRule="exact"/>
      </w:pPr>
    </w:p>
    <w:p w14:paraId="5D518178" w14:textId="77777777" w:rsidR="009833AE" w:rsidRDefault="009833AE" w:rsidP="009833AE">
      <w:pPr>
        <w:rPr>
          <w:rFonts w:eastAsia="Times New Roman"/>
        </w:rPr>
      </w:pPr>
      <w:r>
        <w:rPr>
          <w:rFonts w:hint="eastAsia"/>
        </w:rPr>
        <w:t>三つのセクションの第一部では、瞑想、読経、経典研究など、僧侶が毎日行うべきこと、いつ行うかが定められている。第二部では寺院の書斎における作法、第三部では</w:t>
      </w:r>
      <w:r>
        <w:rPr>
          <w:rFonts w:ascii="ＭＳ 明朝" w:eastAsia="ＭＳ 明朝" w:hAnsi="ＭＳ 明朝" w:cs="ＭＳ 明朝" w:hint="eastAsia"/>
        </w:rPr>
        <w:t>仏堂</w:t>
      </w:r>
      <w:r>
        <w:rPr>
          <w:rFonts w:hint="eastAsia"/>
        </w:rPr>
        <w:t>で何をすべきかを述べている。</w:t>
      </w:r>
    </w:p>
    <w:p w14:paraId="20A64F19" w14:textId="77777777" w:rsidR="006D15E1" w:rsidRPr="009833AE" w:rsidRDefault="006D15E1" w:rsidP="009833AE"/>
    <w:sectPr w:rsidR="006D15E1" w:rsidRPr="009833A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833AE"/>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33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2022-10-24T08:12:00Z</dcterms:created>
  <dcterms:modified xsi:type="dcterms:W3CDTF">2022-10-24T08:12:00Z</dcterms:modified>
</cp:coreProperties>
</file>