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ED293" w14:textId="77777777" w:rsidR="0020229A" w:rsidRDefault="0020229A" w:rsidP="0020229A">
      <w:pPr>
        <w:rPr>
          <w:rFonts w:ascii="Meiryo UI" w:eastAsia="Meiryo UI" w:hAnsi="Meiryo UI"/>
          <w:b/>
          <w:bCs/>
          <w:sz w:val="21"/>
          <w:szCs w:val="21"/>
        </w:rPr>
      </w:pPr>
      <w:bookmarkStart w:id="0" w:name="_GoBack"/>
      <w:bookmarkEnd w:id="0"/>
      <w:r>
        <w:rPr>
          <w:rFonts w:ascii="Meiryo UI" w:eastAsia="Meiryo UI" w:hAnsi="Meiryo UI" w:cs="ＭＳ 明朝" w:hint="eastAsia"/>
          <w:b/>
          <w:bCs/>
          <w:sz w:val="21"/>
          <w:szCs w:val="21"/>
        </w:rPr>
        <w:t>和洋折衷の教会堂</w:t>
      </w:r>
    </w:p>
    <w:p w14:paraId="7401593F" w14:textId="77777777" w:rsidR="0020229A" w:rsidRDefault="0020229A" w:rsidP="0020229A">
      <w:pPr>
        <w:rPr>
          <w:rFonts w:ascii="Meiryo UI" w:eastAsia="Meiryo UI" w:hAnsi="Meiryo UI" w:hint="eastAsia"/>
          <w:sz w:val="21"/>
          <w:szCs w:val="21"/>
        </w:rPr>
      </w:pPr>
      <w:r>
        <w:rPr>
          <w:rFonts w:ascii="Meiryo UI" w:eastAsia="Meiryo UI" w:hAnsi="Meiryo UI" w:cs="ＭＳ 明朝" w:hint="eastAsia"/>
          <w:sz w:val="21"/>
          <w:szCs w:val="21"/>
        </w:rPr>
        <w:t>初期の教会堂は、ヨーロッパ人宣教師の指導のもと日本の大工たちによって建設された簡素なものだった。しかし、やがて日本人の大工が充分なノウハウを得ると、自らの力と地域の人々の協力によって日本と西洋の技術や材料を組み合わせた素朴ながらも優れた教会堂を作ることができるようになった。教会堂の外観はヨーロッパの様式や意匠を基本とし、内部は日本の伝統的な民家建築の特色を活かして日本的な習慣に合うよう設計された。例えば、人々は入口で靴を脱ぎ、床や畳に座って祈りを捧げた。</w:t>
      </w:r>
    </w:p>
    <w:p w14:paraId="72C9ABDD" w14:textId="77777777" w:rsidR="0020229A" w:rsidRDefault="0020229A" w:rsidP="0020229A">
      <w:pPr>
        <w:rPr>
          <w:rFonts w:ascii="Meiryo UI" w:eastAsia="Meiryo UI" w:hAnsi="Meiryo UI" w:cs="ＭＳ 明朝" w:hint="eastAsia"/>
          <w:sz w:val="21"/>
          <w:szCs w:val="21"/>
        </w:rPr>
      </w:pPr>
    </w:p>
    <w:p w14:paraId="3DD31F5E" w14:textId="77777777" w:rsidR="0020229A" w:rsidRDefault="0020229A" w:rsidP="0020229A">
      <w:pPr>
        <w:rPr>
          <w:rFonts w:ascii="Meiryo UI" w:eastAsia="Meiryo UI" w:hAnsi="Meiryo UI" w:hint="eastAsia"/>
          <w:sz w:val="21"/>
          <w:szCs w:val="21"/>
        </w:rPr>
      </w:pPr>
      <w:r>
        <w:rPr>
          <w:rFonts w:ascii="Meiryo UI" w:eastAsia="Meiryo UI" w:hAnsi="Meiryo UI" w:cs="ＭＳ 明朝" w:hint="eastAsia"/>
          <w:sz w:val="21"/>
          <w:szCs w:val="21"/>
        </w:rPr>
        <w:t>潜伏していたキリシタンのほとんどがカトリックへと復帰する一方で、潜伏時代の独自の信仰儀礼を守り伝える人々もいた。このような人々は今なお長崎地方に存在しており、「かくれキリシタン」と呼ばれている。</w:t>
      </w:r>
    </w:p>
    <w:p w14:paraId="67672A25" w14:textId="77777777" w:rsidR="0020229A" w:rsidRDefault="0020229A" w:rsidP="0020229A">
      <w:pPr>
        <w:rPr>
          <w:rFonts w:ascii="Meiryo UI" w:eastAsia="Meiryo UI" w:hAnsi="Meiryo UI" w:cs="ＭＳ 明朝" w:hint="eastAsia"/>
          <w:sz w:val="21"/>
          <w:szCs w:val="21"/>
        </w:rPr>
      </w:pPr>
    </w:p>
    <w:p w14:paraId="7BC8B4D7" w14:textId="77777777" w:rsidR="0020229A" w:rsidRDefault="0020229A" w:rsidP="0020229A">
      <w:pPr>
        <w:rPr>
          <w:rFonts w:ascii="Meiryo UI" w:eastAsia="Meiryo UI" w:hAnsi="Meiryo UI" w:hint="eastAsia"/>
          <w:sz w:val="21"/>
          <w:szCs w:val="21"/>
        </w:rPr>
      </w:pPr>
      <w:r>
        <w:rPr>
          <w:rFonts w:ascii="Meiryo UI" w:eastAsia="Meiryo UI" w:hAnsi="Meiryo UI" w:cs="ＭＳ 明朝" w:hint="eastAsia"/>
          <w:sz w:val="21"/>
          <w:szCs w:val="21"/>
        </w:rPr>
        <w:t>年表</w:t>
      </w:r>
    </w:p>
    <w:tbl>
      <w:tblPr>
        <w:tblW w:w="0" w:type="auto"/>
        <w:tblCellSpacing w:w="15" w:type="dxa"/>
        <w:tblLook w:val="04A0" w:firstRow="1" w:lastRow="0" w:firstColumn="1" w:lastColumn="0" w:noHBand="0" w:noVBand="1"/>
      </w:tblPr>
      <w:tblGrid>
        <w:gridCol w:w="644"/>
        <w:gridCol w:w="4159"/>
      </w:tblGrid>
      <w:tr w:rsidR="0020229A" w14:paraId="19185495" w14:textId="77777777" w:rsidTr="0020229A">
        <w:trPr>
          <w:tblCellSpacing w:w="15" w:type="dxa"/>
        </w:trPr>
        <w:tc>
          <w:tcPr>
            <w:tcW w:w="0" w:type="auto"/>
            <w:tcMar>
              <w:top w:w="15" w:type="dxa"/>
              <w:left w:w="15" w:type="dxa"/>
              <w:bottom w:w="15" w:type="dxa"/>
              <w:right w:w="15" w:type="dxa"/>
            </w:tcMar>
            <w:vAlign w:val="center"/>
            <w:hideMark/>
          </w:tcPr>
          <w:p w14:paraId="5DCE8F6B" w14:textId="77777777" w:rsidR="0020229A" w:rsidRDefault="0020229A">
            <w:pPr>
              <w:rPr>
                <w:rFonts w:ascii="Meiryo UI" w:eastAsia="Meiryo UI" w:hAnsi="Meiryo UI" w:hint="eastAsia"/>
                <w:b/>
                <w:bCs/>
                <w:sz w:val="21"/>
                <w:szCs w:val="21"/>
              </w:rPr>
            </w:pPr>
            <w:r>
              <w:rPr>
                <w:rFonts w:ascii="Meiryo UI" w:eastAsia="Meiryo UI" w:hAnsi="Meiryo UI" w:hint="eastAsia"/>
                <w:b/>
                <w:bCs/>
                <w:sz w:val="21"/>
                <w:szCs w:val="21"/>
              </w:rPr>
              <w:t>1854</w:t>
            </w:r>
          </w:p>
        </w:tc>
        <w:tc>
          <w:tcPr>
            <w:tcW w:w="0" w:type="auto"/>
            <w:tcMar>
              <w:top w:w="15" w:type="dxa"/>
              <w:left w:w="15" w:type="dxa"/>
              <w:bottom w:w="15" w:type="dxa"/>
              <w:right w:w="15" w:type="dxa"/>
            </w:tcMar>
            <w:vAlign w:val="center"/>
            <w:hideMark/>
          </w:tcPr>
          <w:p w14:paraId="5860EAB0" w14:textId="77777777" w:rsidR="0020229A" w:rsidRDefault="0020229A">
            <w:pPr>
              <w:rPr>
                <w:rFonts w:ascii="Meiryo UI" w:eastAsia="Meiryo UI" w:hAnsi="Meiryo UI" w:hint="eastAsia"/>
                <w:sz w:val="21"/>
                <w:szCs w:val="21"/>
              </w:rPr>
            </w:pPr>
            <w:r>
              <w:rPr>
                <w:rFonts w:ascii="Meiryo UI" w:eastAsia="Meiryo UI" w:hAnsi="Meiryo UI" w:cs="ＭＳ 明朝" w:hint="eastAsia"/>
                <w:sz w:val="21"/>
                <w:szCs w:val="21"/>
              </w:rPr>
              <w:t>日米和親条約調印。貿易のため開国を約束する</w:t>
            </w:r>
          </w:p>
        </w:tc>
      </w:tr>
      <w:tr w:rsidR="0020229A" w14:paraId="1F0A919B" w14:textId="77777777" w:rsidTr="0020229A">
        <w:trPr>
          <w:tblCellSpacing w:w="15" w:type="dxa"/>
        </w:trPr>
        <w:tc>
          <w:tcPr>
            <w:tcW w:w="0" w:type="auto"/>
            <w:tcMar>
              <w:top w:w="15" w:type="dxa"/>
              <w:left w:w="15" w:type="dxa"/>
              <w:bottom w:w="15" w:type="dxa"/>
              <w:right w:w="15" w:type="dxa"/>
            </w:tcMar>
            <w:vAlign w:val="center"/>
            <w:hideMark/>
          </w:tcPr>
          <w:p w14:paraId="55718828" w14:textId="77777777" w:rsidR="0020229A" w:rsidRDefault="0020229A">
            <w:pPr>
              <w:rPr>
                <w:rFonts w:ascii="Meiryo UI" w:eastAsia="Meiryo UI" w:hAnsi="Meiryo UI" w:hint="eastAsia"/>
                <w:b/>
                <w:bCs/>
                <w:sz w:val="21"/>
                <w:szCs w:val="21"/>
              </w:rPr>
            </w:pPr>
            <w:r>
              <w:rPr>
                <w:rFonts w:ascii="Meiryo UI" w:eastAsia="Meiryo UI" w:hAnsi="Meiryo UI" w:hint="eastAsia"/>
                <w:b/>
                <w:bCs/>
                <w:sz w:val="21"/>
                <w:szCs w:val="21"/>
              </w:rPr>
              <w:t>1858</w:t>
            </w:r>
          </w:p>
        </w:tc>
        <w:tc>
          <w:tcPr>
            <w:tcW w:w="0" w:type="auto"/>
            <w:tcMar>
              <w:top w:w="15" w:type="dxa"/>
              <w:left w:w="15" w:type="dxa"/>
              <w:bottom w:w="15" w:type="dxa"/>
              <w:right w:w="15" w:type="dxa"/>
            </w:tcMar>
            <w:vAlign w:val="center"/>
            <w:hideMark/>
          </w:tcPr>
          <w:p w14:paraId="7F8150ED" w14:textId="77777777" w:rsidR="0020229A" w:rsidRDefault="0020229A">
            <w:pPr>
              <w:rPr>
                <w:rFonts w:ascii="Meiryo UI" w:eastAsia="Meiryo UI" w:hAnsi="Meiryo UI" w:hint="eastAsia"/>
                <w:sz w:val="21"/>
                <w:szCs w:val="21"/>
              </w:rPr>
            </w:pPr>
            <w:r>
              <w:rPr>
                <w:rFonts w:ascii="Meiryo UI" w:eastAsia="Meiryo UI" w:hAnsi="Meiryo UI" w:cs="ＭＳ 明朝" w:hint="eastAsia"/>
                <w:sz w:val="21"/>
                <w:szCs w:val="21"/>
              </w:rPr>
              <w:t>日米修好通商条約を締結</w:t>
            </w:r>
          </w:p>
        </w:tc>
      </w:tr>
      <w:tr w:rsidR="0020229A" w14:paraId="04406BD9" w14:textId="77777777" w:rsidTr="0020229A">
        <w:trPr>
          <w:tblCellSpacing w:w="15" w:type="dxa"/>
        </w:trPr>
        <w:tc>
          <w:tcPr>
            <w:tcW w:w="0" w:type="auto"/>
            <w:tcMar>
              <w:top w:w="15" w:type="dxa"/>
              <w:left w:w="15" w:type="dxa"/>
              <w:bottom w:w="15" w:type="dxa"/>
              <w:right w:w="15" w:type="dxa"/>
            </w:tcMar>
            <w:vAlign w:val="center"/>
            <w:hideMark/>
          </w:tcPr>
          <w:p w14:paraId="7380A45F" w14:textId="77777777" w:rsidR="0020229A" w:rsidRDefault="0020229A">
            <w:pPr>
              <w:rPr>
                <w:rFonts w:ascii="Meiryo UI" w:eastAsia="Meiryo UI" w:hAnsi="Meiryo UI" w:hint="eastAsia"/>
                <w:b/>
                <w:bCs/>
                <w:sz w:val="21"/>
                <w:szCs w:val="21"/>
              </w:rPr>
            </w:pPr>
            <w:r>
              <w:rPr>
                <w:rFonts w:ascii="Meiryo UI" w:eastAsia="Meiryo UI" w:hAnsi="Meiryo UI" w:hint="eastAsia"/>
                <w:b/>
                <w:bCs/>
                <w:sz w:val="21"/>
                <w:szCs w:val="21"/>
              </w:rPr>
              <w:t>1865</w:t>
            </w:r>
          </w:p>
        </w:tc>
        <w:tc>
          <w:tcPr>
            <w:tcW w:w="0" w:type="auto"/>
            <w:tcMar>
              <w:top w:w="15" w:type="dxa"/>
              <w:left w:w="15" w:type="dxa"/>
              <w:bottom w:w="15" w:type="dxa"/>
              <w:right w:w="15" w:type="dxa"/>
            </w:tcMar>
            <w:vAlign w:val="center"/>
            <w:hideMark/>
          </w:tcPr>
          <w:p w14:paraId="292ED224" w14:textId="77777777" w:rsidR="0020229A" w:rsidRDefault="0020229A">
            <w:pPr>
              <w:rPr>
                <w:rFonts w:ascii="Meiryo UI" w:eastAsia="Meiryo UI" w:hAnsi="Meiryo UI" w:hint="eastAsia"/>
                <w:sz w:val="21"/>
                <w:szCs w:val="21"/>
              </w:rPr>
            </w:pPr>
            <w:r>
              <w:rPr>
                <w:rFonts w:ascii="Meiryo UI" w:eastAsia="Meiryo UI" w:hAnsi="Meiryo UI" w:cs="ＭＳ 明朝" w:hint="eastAsia"/>
                <w:sz w:val="21"/>
                <w:szCs w:val="21"/>
              </w:rPr>
              <w:t>大浦天主堂献堂</w:t>
            </w:r>
          </w:p>
        </w:tc>
      </w:tr>
      <w:tr w:rsidR="0020229A" w14:paraId="346EF185" w14:textId="77777777" w:rsidTr="0020229A">
        <w:trPr>
          <w:tblCellSpacing w:w="15" w:type="dxa"/>
        </w:trPr>
        <w:tc>
          <w:tcPr>
            <w:tcW w:w="0" w:type="auto"/>
            <w:tcMar>
              <w:top w:w="15" w:type="dxa"/>
              <w:left w:w="15" w:type="dxa"/>
              <w:bottom w:w="15" w:type="dxa"/>
              <w:right w:w="15" w:type="dxa"/>
            </w:tcMar>
            <w:vAlign w:val="center"/>
            <w:hideMark/>
          </w:tcPr>
          <w:p w14:paraId="36762339" w14:textId="77777777" w:rsidR="0020229A" w:rsidRDefault="0020229A">
            <w:pPr>
              <w:rPr>
                <w:rFonts w:ascii="Meiryo UI" w:eastAsia="Meiryo UI" w:hAnsi="Meiryo UI" w:hint="eastAsia"/>
                <w:b/>
                <w:bCs/>
                <w:sz w:val="21"/>
                <w:szCs w:val="21"/>
              </w:rPr>
            </w:pPr>
            <w:r>
              <w:rPr>
                <w:rFonts w:ascii="Meiryo UI" w:eastAsia="Meiryo UI" w:hAnsi="Meiryo UI" w:hint="eastAsia"/>
                <w:b/>
                <w:bCs/>
                <w:sz w:val="21"/>
                <w:szCs w:val="21"/>
              </w:rPr>
              <w:t>1865</w:t>
            </w:r>
          </w:p>
        </w:tc>
        <w:tc>
          <w:tcPr>
            <w:tcW w:w="0" w:type="auto"/>
            <w:tcMar>
              <w:top w:w="15" w:type="dxa"/>
              <w:left w:w="15" w:type="dxa"/>
              <w:bottom w:w="15" w:type="dxa"/>
              <w:right w:w="15" w:type="dxa"/>
            </w:tcMar>
            <w:vAlign w:val="center"/>
            <w:hideMark/>
          </w:tcPr>
          <w:p w14:paraId="6D320ECE" w14:textId="77777777" w:rsidR="0020229A" w:rsidRDefault="0020229A">
            <w:pPr>
              <w:rPr>
                <w:rFonts w:ascii="Meiryo UI" w:eastAsia="Meiryo UI" w:hAnsi="Meiryo UI" w:hint="eastAsia"/>
                <w:sz w:val="21"/>
                <w:szCs w:val="21"/>
              </w:rPr>
            </w:pPr>
            <w:r>
              <w:rPr>
                <w:rFonts w:ascii="Meiryo UI" w:eastAsia="Meiryo UI" w:hAnsi="Meiryo UI" w:cs="ＭＳ 明朝" w:hint="eastAsia"/>
                <w:sz w:val="21"/>
                <w:szCs w:val="21"/>
              </w:rPr>
              <w:t>信徒発見</w:t>
            </w:r>
          </w:p>
        </w:tc>
      </w:tr>
      <w:tr w:rsidR="0020229A" w14:paraId="60031B44" w14:textId="77777777" w:rsidTr="0020229A">
        <w:trPr>
          <w:tblCellSpacing w:w="15" w:type="dxa"/>
        </w:trPr>
        <w:tc>
          <w:tcPr>
            <w:tcW w:w="0" w:type="auto"/>
            <w:tcMar>
              <w:top w:w="15" w:type="dxa"/>
              <w:left w:w="15" w:type="dxa"/>
              <w:bottom w:w="15" w:type="dxa"/>
              <w:right w:w="15" w:type="dxa"/>
            </w:tcMar>
            <w:vAlign w:val="center"/>
            <w:hideMark/>
          </w:tcPr>
          <w:p w14:paraId="1F343863" w14:textId="77777777" w:rsidR="0020229A" w:rsidRDefault="0020229A">
            <w:pPr>
              <w:rPr>
                <w:rFonts w:ascii="Meiryo UI" w:eastAsia="Meiryo UI" w:hAnsi="Meiryo UI" w:hint="eastAsia"/>
                <w:b/>
                <w:bCs/>
                <w:sz w:val="21"/>
                <w:szCs w:val="21"/>
              </w:rPr>
            </w:pPr>
            <w:r>
              <w:rPr>
                <w:rFonts w:ascii="Meiryo UI" w:eastAsia="Meiryo UI" w:hAnsi="Meiryo UI" w:hint="eastAsia"/>
                <w:b/>
                <w:bCs/>
                <w:sz w:val="21"/>
                <w:szCs w:val="21"/>
              </w:rPr>
              <w:t>1867</w:t>
            </w:r>
          </w:p>
        </w:tc>
        <w:tc>
          <w:tcPr>
            <w:tcW w:w="0" w:type="auto"/>
            <w:tcMar>
              <w:top w:w="15" w:type="dxa"/>
              <w:left w:w="15" w:type="dxa"/>
              <w:bottom w:w="15" w:type="dxa"/>
              <w:right w:w="15" w:type="dxa"/>
            </w:tcMar>
            <w:vAlign w:val="center"/>
            <w:hideMark/>
          </w:tcPr>
          <w:p w14:paraId="3163E2DE" w14:textId="77777777" w:rsidR="0020229A" w:rsidRDefault="0020229A">
            <w:pPr>
              <w:rPr>
                <w:rFonts w:ascii="Meiryo UI" w:eastAsia="Meiryo UI" w:hAnsi="Meiryo UI" w:hint="eastAsia"/>
                <w:sz w:val="21"/>
                <w:szCs w:val="21"/>
              </w:rPr>
            </w:pPr>
            <w:r>
              <w:rPr>
                <w:rFonts w:ascii="Meiryo UI" w:eastAsia="Meiryo UI" w:hAnsi="Meiryo UI" w:cs="ＭＳ 明朝" w:hint="eastAsia"/>
                <w:sz w:val="21"/>
                <w:szCs w:val="21"/>
              </w:rPr>
              <w:t>浦上</w:t>
            </w:r>
            <w:r>
              <w:rPr>
                <w:rFonts w:ascii="Meiryo UI" w:eastAsia="Meiryo UI" w:hAnsi="Meiryo UI" w:hint="eastAsia"/>
                <w:sz w:val="21"/>
                <w:szCs w:val="21"/>
              </w:rPr>
              <w:t>四</w:t>
            </w:r>
            <w:r>
              <w:rPr>
                <w:rFonts w:ascii="Meiryo UI" w:eastAsia="Meiryo UI" w:hAnsi="Meiryo UI" w:cs="ＭＳ 明朝" w:hint="eastAsia"/>
                <w:sz w:val="21"/>
                <w:szCs w:val="21"/>
              </w:rPr>
              <w:t>番崩れ</w:t>
            </w:r>
          </w:p>
        </w:tc>
      </w:tr>
      <w:tr w:rsidR="0020229A" w14:paraId="1F23CF0A" w14:textId="77777777" w:rsidTr="0020229A">
        <w:trPr>
          <w:tblCellSpacing w:w="15" w:type="dxa"/>
        </w:trPr>
        <w:tc>
          <w:tcPr>
            <w:tcW w:w="0" w:type="auto"/>
            <w:tcMar>
              <w:top w:w="15" w:type="dxa"/>
              <w:left w:w="15" w:type="dxa"/>
              <w:bottom w:w="15" w:type="dxa"/>
              <w:right w:w="15" w:type="dxa"/>
            </w:tcMar>
            <w:vAlign w:val="center"/>
            <w:hideMark/>
          </w:tcPr>
          <w:p w14:paraId="7239D784" w14:textId="77777777" w:rsidR="0020229A" w:rsidRDefault="0020229A">
            <w:pPr>
              <w:rPr>
                <w:rFonts w:ascii="Meiryo UI" w:eastAsia="Meiryo UI" w:hAnsi="Meiryo UI" w:hint="eastAsia"/>
                <w:b/>
                <w:bCs/>
                <w:sz w:val="21"/>
                <w:szCs w:val="21"/>
              </w:rPr>
            </w:pPr>
            <w:r>
              <w:rPr>
                <w:rFonts w:ascii="Meiryo UI" w:eastAsia="Meiryo UI" w:hAnsi="Meiryo UI" w:hint="eastAsia"/>
                <w:b/>
                <w:bCs/>
                <w:sz w:val="21"/>
                <w:szCs w:val="21"/>
              </w:rPr>
              <w:t>1873</w:t>
            </w:r>
          </w:p>
        </w:tc>
        <w:tc>
          <w:tcPr>
            <w:tcW w:w="0" w:type="auto"/>
            <w:tcMar>
              <w:top w:w="15" w:type="dxa"/>
              <w:left w:w="15" w:type="dxa"/>
              <w:bottom w:w="15" w:type="dxa"/>
              <w:right w:w="15" w:type="dxa"/>
            </w:tcMar>
            <w:vAlign w:val="center"/>
            <w:hideMark/>
          </w:tcPr>
          <w:p w14:paraId="300DDEA9" w14:textId="77777777" w:rsidR="0020229A" w:rsidRDefault="0020229A">
            <w:pPr>
              <w:rPr>
                <w:rFonts w:ascii="Meiryo UI" w:eastAsia="Meiryo UI" w:hAnsi="Meiryo UI" w:hint="eastAsia"/>
                <w:sz w:val="21"/>
                <w:szCs w:val="21"/>
              </w:rPr>
            </w:pPr>
            <w:r>
              <w:rPr>
                <w:rFonts w:ascii="Meiryo UI" w:eastAsia="Meiryo UI" w:hAnsi="Meiryo UI" w:cs="ＭＳ 明朝" w:hint="eastAsia"/>
                <w:sz w:val="21"/>
                <w:szCs w:val="21"/>
              </w:rPr>
              <w:t>明治政府がキリスト教禁止の高札を撤廃</w:t>
            </w:r>
          </w:p>
        </w:tc>
      </w:tr>
    </w:tbl>
    <w:p w14:paraId="745F39EF" w14:textId="0E0B121D" w:rsidR="00236E38" w:rsidRPr="0020229A" w:rsidRDefault="00236E38" w:rsidP="0020229A"/>
    <w:sectPr w:rsidR="00236E38" w:rsidRPr="0020229A"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29A"/>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747504300">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D5F37-E5A9-4FE6-BB79-C7DC3E557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2022-10-25T07:47:00Z</dcterms:created>
  <dcterms:modified xsi:type="dcterms:W3CDTF">2022-10-25T07:47:00Z</dcterms:modified>
</cp:coreProperties>
</file>