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6E00" w14:textId="77777777" w:rsidR="00C4478E" w:rsidRDefault="00C4478E" w:rsidP="00C4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神鍋高原</w:t>
      </w:r>
      <w:r>
        <w:rPr>
          <w:rFonts w:ascii="inherit" w:eastAsia="ＭＳ ゴシック" w:hAnsi="inherit" w:cs="ＭＳ ゴシック"/>
          <w:color w:val="4D4843"/>
        </w:rPr>
        <w:t xml:space="preserve"> </w:t>
      </w:r>
      <w:r>
        <w:rPr>
          <w:rFonts w:ascii="inherit" w:eastAsia="ＭＳ ゴシック" w:hAnsi="inherit" w:cs="ＭＳ ゴシック" w:hint="eastAsia"/>
          <w:color w:val="4D4843"/>
        </w:rPr>
        <w:t>スノーシーズン</w:t>
      </w:r>
    </w:p>
    <w:p w14:paraId="37DCCF8A" w14:textId="77777777" w:rsidR="00C4478E" w:rsidRDefault="00C4478E" w:rsidP="00C4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神鍋高原は冬季を通して穏やかな気温と、全て自然に積もった雪で有名です。広範なエリアで多くのウィンターアクティビティが行われており、中でも</w:t>
      </w:r>
      <w:r>
        <w:rPr>
          <w:rFonts w:ascii="inherit" w:eastAsia="ＭＳ ゴシック" w:hAnsi="inherit" w:cs="ＭＳ ゴシック"/>
          <w:color w:val="4D4843"/>
        </w:rPr>
        <w:t>3</w:t>
      </w:r>
      <w:r>
        <w:rPr>
          <w:rFonts w:ascii="inherit" w:eastAsia="ＭＳ ゴシック" w:hAnsi="inherit" w:cs="ＭＳ ゴシック" w:hint="eastAsia"/>
          <w:color w:val="4D4843"/>
        </w:rPr>
        <w:t>つある大規模スキーリゾートはあらゆるレベルのスキーヤーやスノーボーダーにとって理想的な場所です。</w:t>
      </w:r>
    </w:p>
    <w:p w14:paraId="2D12BD4C" w14:textId="77777777" w:rsidR="00C4478E" w:rsidRDefault="00C4478E" w:rsidP="00C4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42F4D01F" w14:textId="77777777" w:rsidR="00C4478E" w:rsidRDefault="00C4478E" w:rsidP="00C4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「アップかんなべスキーリゾート」は起伏が緩やかな丘陵地帯にあるため、初心者や子供のいる家族にぴったりのスポットです。「奥神鍋」と「万場」の</w:t>
      </w:r>
      <w:r>
        <w:rPr>
          <w:rFonts w:ascii="inherit" w:eastAsia="ＭＳ ゴシック" w:hAnsi="inherit" w:cs="ＭＳ ゴシック"/>
          <w:color w:val="4D4843"/>
        </w:rPr>
        <w:t>2</w:t>
      </w:r>
      <w:r>
        <w:rPr>
          <w:rFonts w:ascii="inherit" w:eastAsia="ＭＳ ゴシック" w:hAnsi="inherit" w:cs="ＭＳ ゴシック" w:hint="eastAsia"/>
          <w:color w:val="4D4843"/>
        </w:rPr>
        <w:t>つのスキーリゾートは「アップかんなべ」の真向かいにあり、長いスロープやコブを持つより上級者向けのコースが利用可能です。もしスキー以外のことがしたいなら、ガイド付きスノーシューコースやバナナボート・スノーラフティング、丘でのソリ遊びなど、他のウィンターアクティビティもあります。</w:t>
      </w:r>
    </w:p>
    <w:p w14:paraId="44E101FD" w14:textId="77777777" w:rsidR="00C4478E" w:rsidRDefault="00C4478E" w:rsidP="00C4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071620C1" w14:textId="77777777" w:rsidR="00C4478E" w:rsidRDefault="00C4478E" w:rsidP="00C44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神鍋高原のスキーリゾートを訪れるべきもう一つの大きな理由は、居心地の良い民宿に泊まって地元の人たちと交流したり、自然でいっぱいのこの地域についてもう少し詳しく学んだりできることです。本物の日本のおもてなしを少しだけ体験するための素晴らしい方法でもあります。</w:t>
      </w:r>
    </w:p>
    <w:p w14:paraId="297170DB" w14:textId="77777777" w:rsidR="00087FBC" w:rsidRPr="00C4478E" w:rsidRDefault="00087FBC" w:rsidP="00C4478E"/>
    <w:sectPr w:rsidR="00087FBC" w:rsidRPr="00C4478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4478E"/>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1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2022-10-25T00:47:00Z</dcterms:created>
  <dcterms:modified xsi:type="dcterms:W3CDTF">2022-10-25T00:47:00Z</dcterms:modified>
</cp:coreProperties>
</file>