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BB4914" w14:textId="77777777" w:rsidR="005B5AC9" w:rsidRDefault="005B5AC9" w:rsidP="005B5A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jc w:val="left"/>
        <w:textAlignment w:val="baseline"/>
        <w:rPr>
          <w:rFonts w:ascii="inherit" w:eastAsia="ＭＳ ゴシック" w:hAnsi="inherit" w:cs="ＭＳ ゴシック"/>
          <w:color w:val="4D4843"/>
        </w:rPr>
      </w:pPr>
      <w:r>
        <w:rPr>
          <w:rFonts w:ascii="inherit" w:eastAsia="ＭＳ ゴシック" w:hAnsi="inherit" w:cs="ＭＳ ゴシック" w:hint="eastAsia"/>
          <w:color w:val="4D4843"/>
        </w:rPr>
        <w:t>たんとうの花々チューリップ＋ひまわり＋田んぼアート＋ナツツバキ</w:t>
      </w:r>
    </w:p>
    <w:p w14:paraId="50EF6825" w14:textId="77777777" w:rsidR="005B5AC9" w:rsidRDefault="005B5AC9" w:rsidP="005B5A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firstLineChars="50" w:firstLine="105"/>
        <w:jc w:val="left"/>
        <w:textAlignment w:val="baseline"/>
        <w:rPr>
          <w:rFonts w:ascii="inherit" w:eastAsia="ＭＳ ゴシック" w:hAnsi="inherit" w:cs="ＭＳ ゴシック"/>
          <w:color w:val="4D4843"/>
        </w:rPr>
      </w:pPr>
      <w:r>
        <w:rPr>
          <w:rFonts w:ascii="inherit" w:eastAsia="ＭＳ ゴシック" w:hAnsi="inherit" w:cs="ＭＳ ゴシック" w:hint="eastAsia"/>
          <w:color w:val="4D4843"/>
        </w:rPr>
        <w:t>但東地域は広大な農地で構成されており、たくさんの花やその他の植物が育つには理想的な場所です。そのため、但東は</w:t>
      </w:r>
      <w:r>
        <w:rPr>
          <w:rFonts w:ascii="inherit" w:eastAsia="ＭＳ ゴシック" w:hAnsi="inherit" w:cs="ＭＳ ゴシック"/>
          <w:color w:val="4D4843"/>
        </w:rPr>
        <w:t>4</w:t>
      </w:r>
      <w:r>
        <w:rPr>
          <w:rFonts w:ascii="inherit" w:eastAsia="ＭＳ ゴシック" w:hAnsi="inherit" w:cs="ＭＳ ゴシック" w:hint="eastAsia"/>
          <w:color w:val="4D4843"/>
        </w:rPr>
        <w:t>月に開催される「たんとうチューリップまつり」で有名です。その目玉は、たんとう花公園で育つ</w:t>
      </w:r>
      <w:r>
        <w:rPr>
          <w:rFonts w:ascii="inherit" w:eastAsia="ＭＳ ゴシック" w:hAnsi="inherit" w:cs="ＭＳ ゴシック"/>
          <w:color w:val="4D4843"/>
        </w:rPr>
        <w:t>300</w:t>
      </w:r>
      <w:r>
        <w:rPr>
          <w:rFonts w:ascii="inherit" w:eastAsia="ＭＳ ゴシック" w:hAnsi="inherit" w:cs="ＭＳ ゴシック" w:hint="eastAsia"/>
          <w:color w:val="4D4843"/>
        </w:rPr>
        <w:t>種類以上の約</w:t>
      </w:r>
      <w:r>
        <w:rPr>
          <w:rFonts w:ascii="inherit" w:eastAsia="ＭＳ ゴシック" w:hAnsi="inherit" w:cs="ＭＳ ゴシック"/>
          <w:color w:val="4D4843"/>
        </w:rPr>
        <w:t>100</w:t>
      </w:r>
      <w:r>
        <w:rPr>
          <w:rFonts w:ascii="inherit" w:eastAsia="ＭＳ ゴシック" w:hAnsi="inherit" w:cs="ＭＳ ゴシック" w:hint="eastAsia"/>
          <w:color w:val="4D4843"/>
        </w:rPr>
        <w:t>万本のチューリップです。このカラフルなお祭りのハイライトは、チューリップ約</w:t>
      </w:r>
      <w:r>
        <w:rPr>
          <w:rFonts w:ascii="inherit" w:eastAsia="ＭＳ ゴシック" w:hAnsi="inherit" w:cs="ＭＳ ゴシック"/>
          <w:color w:val="4D4843"/>
        </w:rPr>
        <w:t>10</w:t>
      </w:r>
      <w:r>
        <w:rPr>
          <w:rFonts w:ascii="inherit" w:eastAsia="ＭＳ ゴシック" w:hAnsi="inherit" w:cs="ＭＳ ゴシック" w:hint="eastAsia"/>
          <w:color w:val="4D4843"/>
        </w:rPr>
        <w:t>万本を使って伝統的なダルマや地元のマスコット、漫画キャラクターなどの日本の象徴的なキャラクターを描く、見事なチューリップアートです。お花の他にも、この家族で楽しめるお祭りには写真コンテストや地域バザー、屋台などがあり、ゲストも楽しむことができます。</w:t>
      </w:r>
    </w:p>
    <w:p w14:paraId="0B7B3228" w14:textId="77777777" w:rsidR="005B5AC9" w:rsidRDefault="005B5AC9" w:rsidP="005B5A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jc w:val="left"/>
        <w:textAlignment w:val="baseline"/>
        <w:rPr>
          <w:rFonts w:ascii="inherit" w:eastAsia="ＭＳ ゴシック" w:hAnsi="inherit" w:cs="ＭＳ ゴシック"/>
          <w:color w:val="4D4843"/>
        </w:rPr>
      </w:pPr>
    </w:p>
    <w:p w14:paraId="103FCC6D" w14:textId="77777777" w:rsidR="005B5AC9" w:rsidRDefault="005B5AC9" w:rsidP="005B5A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firstLineChars="50" w:firstLine="105"/>
        <w:jc w:val="left"/>
        <w:textAlignment w:val="baseline"/>
        <w:rPr>
          <w:rFonts w:ascii="inherit" w:eastAsia="ＭＳ ゴシック" w:hAnsi="inherit" w:cs="ＭＳ ゴシック"/>
          <w:color w:val="4D4843"/>
        </w:rPr>
      </w:pPr>
      <w:r>
        <w:rPr>
          <w:rFonts w:ascii="inherit" w:eastAsia="ＭＳ ゴシック" w:hAnsi="inherit" w:cs="ＭＳ ゴシック" w:hint="eastAsia"/>
          <w:color w:val="4D4843"/>
        </w:rPr>
        <w:t>チューリップで満たされた春の後、夏になるとこの地域はその他のたくさんの花と田んぼアートの天国に変わります。田んぼアートでは、水田が古代の穀類のキャンパスに変えられます。田んぼアートは赤・白・黒・紫・黄色の</w:t>
      </w:r>
      <w:r>
        <w:rPr>
          <w:rFonts w:ascii="inherit" w:eastAsia="ＭＳ ゴシック" w:hAnsi="inherit" w:cs="ＭＳ ゴシック"/>
          <w:color w:val="4D4843"/>
        </w:rPr>
        <w:t>5</w:t>
      </w:r>
      <w:r>
        <w:rPr>
          <w:rFonts w:ascii="inherit" w:eastAsia="ＭＳ ゴシック" w:hAnsi="inherit" w:cs="ＭＳ ゴシック" w:hint="eastAsia"/>
          <w:color w:val="4D4843"/>
        </w:rPr>
        <w:t>種類の古代米で作られたさまざまな絵を展示します。</w:t>
      </w:r>
      <w:r>
        <w:rPr>
          <w:rFonts w:ascii="inherit" w:eastAsia="ＭＳ ゴシック" w:hAnsi="inherit" w:cs="ＭＳ ゴシック"/>
          <w:color w:val="4D4843"/>
        </w:rPr>
        <w:t>6</w:t>
      </w:r>
      <w:r>
        <w:rPr>
          <w:rFonts w:ascii="inherit" w:eastAsia="ＭＳ ゴシック" w:hAnsi="inherit" w:cs="ＭＳ ゴシック" w:hint="eastAsia"/>
          <w:color w:val="4D4843"/>
        </w:rPr>
        <w:t>月もまた、開花したアジサイと「奥赤あじさい祭り」を見ることができます。一方で</w:t>
      </w:r>
      <w:r>
        <w:rPr>
          <w:rFonts w:ascii="inherit" w:eastAsia="ＭＳ ゴシック" w:hAnsi="inherit" w:cs="ＭＳ ゴシック"/>
          <w:color w:val="4D4843"/>
        </w:rPr>
        <w:t>6</w:t>
      </w:r>
      <w:r>
        <w:rPr>
          <w:rFonts w:ascii="inherit" w:eastAsia="ＭＳ ゴシック" w:hAnsi="inherit" w:cs="ＭＳ ゴシック" w:hint="eastAsia"/>
          <w:color w:val="4D4843"/>
        </w:rPr>
        <w:t>月と</w:t>
      </w:r>
      <w:r>
        <w:rPr>
          <w:rFonts w:ascii="inherit" w:eastAsia="ＭＳ ゴシック" w:hAnsi="inherit" w:cs="ＭＳ ゴシック"/>
          <w:color w:val="4D4843"/>
        </w:rPr>
        <w:t>7</w:t>
      </w:r>
      <w:r>
        <w:rPr>
          <w:rFonts w:ascii="inherit" w:eastAsia="ＭＳ ゴシック" w:hAnsi="inherit" w:cs="ＭＳ ゴシック" w:hint="eastAsia"/>
          <w:color w:val="4D4843"/>
        </w:rPr>
        <w:t>月には、安国寺公園で群生して育つたくさんの白いナツツバキが見られます。ヒマワリはたんとう花公園で「たんとうひまわりまつり」が開催される</w:t>
      </w:r>
      <w:r>
        <w:rPr>
          <w:rFonts w:ascii="inherit" w:eastAsia="ＭＳ ゴシック" w:hAnsi="inherit" w:cs="ＭＳ ゴシック"/>
          <w:color w:val="4D4843"/>
        </w:rPr>
        <w:t>8</w:t>
      </w:r>
      <w:r>
        <w:rPr>
          <w:rFonts w:ascii="inherit" w:eastAsia="ＭＳ ゴシック" w:hAnsi="inherit" w:cs="ＭＳ ゴシック" w:hint="eastAsia"/>
          <w:color w:val="4D4843"/>
        </w:rPr>
        <w:t>月のハイライトです。一方で秋には周辺の山々の木々が赤・オレンジ・黄色の素晴らしい色調に変わり始め、冬は地域全体が雪で真っ白な汚れのない景色に変わります。</w:t>
      </w:r>
    </w:p>
    <w:p w14:paraId="7A92254C" w14:textId="77777777" w:rsidR="005B5AC9" w:rsidRDefault="005B5AC9" w:rsidP="005B5A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jc w:val="left"/>
        <w:textAlignment w:val="baseline"/>
        <w:rPr>
          <w:rFonts w:ascii="inherit" w:eastAsia="ＭＳ ゴシック" w:hAnsi="inherit" w:cs="ＭＳ ゴシック"/>
          <w:color w:val="4D4843"/>
        </w:rPr>
      </w:pPr>
    </w:p>
    <w:p w14:paraId="53ADBB2F" w14:textId="77777777" w:rsidR="005B5AC9" w:rsidRDefault="005B5AC9" w:rsidP="005B5A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firstLineChars="50" w:firstLine="105"/>
        <w:jc w:val="left"/>
        <w:textAlignment w:val="baseline"/>
        <w:rPr>
          <w:rFonts w:ascii="inherit" w:eastAsia="ＭＳ ゴシック" w:hAnsi="inherit" w:cs="ＭＳ ゴシック"/>
          <w:color w:val="4D4843"/>
        </w:rPr>
      </w:pPr>
      <w:r>
        <w:rPr>
          <w:rFonts w:ascii="inherit" w:eastAsia="ＭＳ ゴシック" w:hAnsi="inherit" w:cs="ＭＳ ゴシック" w:hint="eastAsia"/>
          <w:color w:val="4D4843"/>
        </w:rPr>
        <w:t>但東地域には安国寺もあり、訪問者は樹齢約</w:t>
      </w:r>
      <w:r>
        <w:rPr>
          <w:rFonts w:ascii="inherit" w:eastAsia="ＭＳ ゴシック" w:hAnsi="inherit" w:cs="ＭＳ ゴシック"/>
          <w:color w:val="4D4843"/>
        </w:rPr>
        <w:t>150</w:t>
      </w:r>
      <w:r>
        <w:rPr>
          <w:rFonts w:ascii="inherit" w:eastAsia="ＭＳ ゴシック" w:hAnsi="inherit" w:cs="ＭＳ ゴシック" w:hint="eastAsia"/>
          <w:color w:val="4D4843"/>
        </w:rPr>
        <w:t>～</w:t>
      </w:r>
      <w:r>
        <w:rPr>
          <w:rFonts w:ascii="inherit" w:eastAsia="ＭＳ ゴシック" w:hAnsi="inherit" w:cs="ＭＳ ゴシック"/>
          <w:color w:val="4D4843"/>
        </w:rPr>
        <w:t>160</w:t>
      </w:r>
      <w:r>
        <w:rPr>
          <w:rFonts w:ascii="inherit" w:eastAsia="ＭＳ ゴシック" w:hAnsi="inherit" w:cs="ＭＳ ゴシック" w:hint="eastAsia"/>
          <w:color w:val="4D4843"/>
        </w:rPr>
        <w:t>年の見事なドウダンツツジの木々を垣間見ることができます。並ぶもののないそれらの木々が、このお寺に対して素晴らしい背景を作り出しています。秋の間は鮮やかな紅葉が自慢であり、夜間にはライトアップもされます。またこのお寺は、木々が豊かな緑の葉を見せる一年の他の時期にも訪れる価値があります。</w:t>
      </w:r>
    </w:p>
    <w:p w14:paraId="297170DB" w14:textId="77777777" w:rsidR="00087FBC" w:rsidRPr="005B5AC9" w:rsidRDefault="00087FBC" w:rsidP="005B5AC9"/>
    <w:sectPr w:rsidR="00087FBC" w:rsidRPr="005B5AC9">
      <w:headerReference w:type="even" r:id="rId6"/>
      <w:headerReference w:type="default" r:id="rId7"/>
      <w:footerReference w:type="even" r:id="rId8"/>
      <w:footerReference w:type="default" r:id="rId9"/>
      <w:headerReference w:type="first" r:id="rId10"/>
      <w:footerReference w:type="first" r:id="rId11"/>
      <w:pgSz w:w="11900" w:h="16840"/>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9FD9D4" w14:textId="77777777" w:rsidR="00F878E6" w:rsidRDefault="00F878E6">
      <w:r>
        <w:separator/>
      </w:r>
    </w:p>
  </w:endnote>
  <w:endnote w:type="continuationSeparator" w:id="0">
    <w:p w14:paraId="2D41A89C" w14:textId="77777777" w:rsidR="00F878E6" w:rsidRDefault="00F87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inherit">
    <w:altName w:val="Cambria"/>
    <w:panose1 w:val="00000000000000000000"/>
    <w:charset w:val="00"/>
    <w:family w:val="roman"/>
    <w:notTrueType/>
    <w:pitch w:val="default"/>
  </w:font>
  <w:font w:name="ＭＳ 明朝">
    <w:altName w:val="MS Mincho"/>
    <w:panose1 w:val="02020609040205080304"/>
    <w:charset w:val="80"/>
    <w:family w:val="roma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57713" w14:textId="77777777" w:rsidR="002D2F67" w:rsidRDefault="002D2F67">
    <w:pPr>
      <w:pBdr>
        <w:top w:val="nil"/>
        <w:left w:val="nil"/>
        <w:bottom w:val="nil"/>
        <w:right w:val="nil"/>
        <w:between w:val="nil"/>
      </w:pBdr>
      <w:tabs>
        <w:tab w:val="center" w:pos="4252"/>
        <w:tab w:val="right" w:pos="8504"/>
      </w:tabs>
      <w:jc w:val="center"/>
      <w:rPr>
        <w:color w:val="000000"/>
      </w:rPr>
    </w:pPr>
    <w:r>
      <w:rPr>
        <w:color w:val="000000"/>
      </w:rPr>
      <w:fldChar w:fldCharType="begin"/>
    </w:r>
    <w:r>
      <w:rPr>
        <w:color w:val="000000"/>
      </w:rPr>
      <w:instrText>PAGE</w:instrText>
    </w:r>
    <w:r>
      <w:rPr>
        <w:color w:val="000000"/>
      </w:rPr>
      <w:fldChar w:fldCharType="end"/>
    </w:r>
  </w:p>
  <w:p w14:paraId="30B5D16B" w14:textId="77777777" w:rsidR="002D2F67" w:rsidRDefault="002D2F67">
    <w:pPr>
      <w:pBdr>
        <w:top w:val="nil"/>
        <w:left w:val="nil"/>
        <w:bottom w:val="nil"/>
        <w:right w:val="nil"/>
        <w:between w:val="nil"/>
      </w:pBdr>
      <w:tabs>
        <w:tab w:val="center" w:pos="4252"/>
        <w:tab w:val="right" w:pos="8504"/>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B2262" w14:textId="06CBAF64" w:rsidR="002D2F67" w:rsidRDefault="002D2F67">
    <w:pPr>
      <w:pBdr>
        <w:top w:val="nil"/>
        <w:left w:val="nil"/>
        <w:bottom w:val="nil"/>
        <w:right w:val="nil"/>
        <w:between w:val="nil"/>
      </w:pBdr>
      <w:tabs>
        <w:tab w:val="center" w:pos="4252"/>
        <w:tab w:val="right" w:pos="8504"/>
      </w:tabs>
      <w:rPr>
        <w:rFonts w:ascii="Times New Roman" w:eastAsia="Times New Roman" w:hAnsi="Times New Roman" w:cs="Times New Roman"/>
        <w:color w:val="00000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3E56A" w14:textId="77777777" w:rsidR="002D2F67" w:rsidRDefault="002D2F67">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BD0FB5" w14:textId="77777777" w:rsidR="00F878E6" w:rsidRDefault="00F878E6">
      <w:r>
        <w:separator/>
      </w:r>
    </w:p>
  </w:footnote>
  <w:footnote w:type="continuationSeparator" w:id="0">
    <w:p w14:paraId="11A3AC8B" w14:textId="77777777" w:rsidR="00F878E6" w:rsidRDefault="00F878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63F59" w14:textId="77777777" w:rsidR="002D2F67" w:rsidRDefault="002D2F67">
    <w:pPr>
      <w:pBdr>
        <w:top w:val="nil"/>
        <w:left w:val="nil"/>
        <w:bottom w:val="nil"/>
        <w:right w:val="nil"/>
        <w:between w:val="nil"/>
      </w:pBdr>
      <w:tabs>
        <w:tab w:val="center" w:pos="4252"/>
        <w:tab w:val="right" w:pos="8504"/>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B7C1C" w14:textId="77777777" w:rsidR="002D2F67" w:rsidRDefault="002D2F67">
    <w:pPr>
      <w:pBdr>
        <w:top w:val="nil"/>
        <w:left w:val="nil"/>
        <w:bottom w:val="nil"/>
        <w:right w:val="nil"/>
        <w:between w:val="nil"/>
      </w:pBdr>
      <w:tabs>
        <w:tab w:val="center" w:pos="4252"/>
        <w:tab w:val="right" w:pos="8504"/>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4D756" w14:textId="77777777" w:rsidR="002D2F67" w:rsidRDefault="002D2F67">
    <w:pPr>
      <w:pBdr>
        <w:top w:val="nil"/>
        <w:left w:val="nil"/>
        <w:bottom w:val="nil"/>
        <w:right w:val="nil"/>
        <w:between w:val="nil"/>
      </w:pBdr>
      <w:tabs>
        <w:tab w:val="center" w:pos="4252"/>
        <w:tab w:val="right" w:pos="8504"/>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7FBC"/>
    <w:rsid w:val="0002701C"/>
    <w:rsid w:val="00087FBC"/>
    <w:rsid w:val="000D176D"/>
    <w:rsid w:val="001120B7"/>
    <w:rsid w:val="00273655"/>
    <w:rsid w:val="002D2F67"/>
    <w:rsid w:val="00344106"/>
    <w:rsid w:val="004C0E7A"/>
    <w:rsid w:val="00516A62"/>
    <w:rsid w:val="00585D44"/>
    <w:rsid w:val="005A644F"/>
    <w:rsid w:val="005B5AC9"/>
    <w:rsid w:val="00603530"/>
    <w:rsid w:val="00643FD7"/>
    <w:rsid w:val="00694FF7"/>
    <w:rsid w:val="006D241C"/>
    <w:rsid w:val="0070035F"/>
    <w:rsid w:val="00727AE5"/>
    <w:rsid w:val="0074177E"/>
    <w:rsid w:val="007A3B02"/>
    <w:rsid w:val="007A3E5D"/>
    <w:rsid w:val="00885761"/>
    <w:rsid w:val="008E158B"/>
    <w:rsid w:val="009C2ABC"/>
    <w:rsid w:val="009C3930"/>
    <w:rsid w:val="00A00B85"/>
    <w:rsid w:val="00A50814"/>
    <w:rsid w:val="00B240A7"/>
    <w:rsid w:val="00B805B8"/>
    <w:rsid w:val="00B97AA6"/>
    <w:rsid w:val="00C267F6"/>
    <w:rsid w:val="00C54535"/>
    <w:rsid w:val="00CE3A34"/>
    <w:rsid w:val="00D36209"/>
    <w:rsid w:val="00DA396E"/>
    <w:rsid w:val="00E27C7A"/>
    <w:rsid w:val="00E40E25"/>
    <w:rsid w:val="00F878E6"/>
    <w:rsid w:val="00FE2B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2815569"/>
  <w15:docId w15:val="{215EA5F2-BA0E-6341-BEF5-840F4C444E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left w:w="99" w:type="dxa"/>
        <w:right w:w="99" w:type="dxa"/>
      </w:tblCellMar>
    </w:tblPr>
  </w:style>
  <w:style w:type="table" w:customStyle="1" w:styleId="a6">
    <w:basedOn w:val="TableNormal"/>
    <w:tblPr>
      <w:tblStyleRowBandSize w:val="1"/>
      <w:tblStyleColBandSize w:val="1"/>
      <w:tblCellMar>
        <w:left w:w="99" w:type="dxa"/>
        <w:right w:w="99" w:type="dxa"/>
      </w:tblCellMar>
    </w:tblPr>
  </w:style>
  <w:style w:type="table" w:customStyle="1" w:styleId="a7">
    <w:basedOn w:val="TableNormal"/>
    <w:tblPr>
      <w:tblStyleRowBandSize w:val="1"/>
      <w:tblStyleColBandSize w:val="1"/>
      <w:tblCellMar>
        <w:left w:w="99" w:type="dxa"/>
        <w:right w:w="99" w:type="dxa"/>
      </w:tblCellMar>
    </w:tblPr>
  </w:style>
  <w:style w:type="table" w:customStyle="1" w:styleId="a8">
    <w:basedOn w:val="TableNormal"/>
    <w:tblPr>
      <w:tblStyleRowBandSize w:val="1"/>
      <w:tblStyleColBandSize w:val="1"/>
      <w:tblCellMar>
        <w:left w:w="99" w:type="dxa"/>
        <w:right w:w="99" w:type="dxa"/>
      </w:tblCellMar>
    </w:tblPr>
  </w:style>
  <w:style w:type="table" w:customStyle="1" w:styleId="a9">
    <w:basedOn w:val="TableNormal"/>
    <w:tblPr>
      <w:tblStyleRowBandSize w:val="1"/>
      <w:tblStyleColBandSize w:val="1"/>
      <w:tblCellMar>
        <w:left w:w="99" w:type="dxa"/>
        <w:right w:w="99" w:type="dxa"/>
      </w:tblCellMar>
    </w:tblPr>
  </w:style>
  <w:style w:type="table" w:customStyle="1" w:styleId="aa">
    <w:basedOn w:val="TableNormal"/>
    <w:tblPr>
      <w:tblStyleRowBandSize w:val="1"/>
      <w:tblStyleColBandSize w:val="1"/>
      <w:tblCellMar>
        <w:left w:w="99" w:type="dxa"/>
        <w:right w:w="99" w:type="dxa"/>
      </w:tblCellMar>
    </w:tblPr>
  </w:style>
  <w:style w:type="table" w:customStyle="1" w:styleId="ab">
    <w:basedOn w:val="TableNormal"/>
    <w:tblPr>
      <w:tblStyleRowBandSize w:val="1"/>
      <w:tblStyleColBandSize w:val="1"/>
      <w:tblCellMar>
        <w:left w:w="99" w:type="dxa"/>
        <w:right w:w="99" w:type="dxa"/>
      </w:tblCellMar>
    </w:tblPr>
  </w:style>
  <w:style w:type="table" w:customStyle="1" w:styleId="ac">
    <w:basedOn w:val="TableNormal"/>
    <w:tblPr>
      <w:tblStyleRowBandSize w:val="1"/>
      <w:tblStyleColBandSize w:val="1"/>
      <w:tblCellMar>
        <w:left w:w="99" w:type="dxa"/>
        <w:right w:w="99" w:type="dxa"/>
      </w:tblCellMar>
    </w:tblPr>
  </w:style>
  <w:style w:type="table" w:customStyle="1" w:styleId="ad">
    <w:basedOn w:val="TableNormal"/>
    <w:tblPr>
      <w:tblStyleRowBandSize w:val="1"/>
      <w:tblStyleColBandSize w:val="1"/>
      <w:tblCellMar>
        <w:left w:w="99" w:type="dxa"/>
        <w:right w:w="99" w:type="dxa"/>
      </w:tblCellMar>
    </w:tblPr>
  </w:style>
  <w:style w:type="table" w:customStyle="1" w:styleId="ae">
    <w:basedOn w:val="TableNormal"/>
    <w:tblPr>
      <w:tblStyleRowBandSize w:val="1"/>
      <w:tblStyleColBandSize w:val="1"/>
      <w:tblCellMar>
        <w:left w:w="99" w:type="dxa"/>
        <w:right w:w="99" w:type="dxa"/>
      </w:tblCellMar>
    </w:tblPr>
  </w:style>
  <w:style w:type="table" w:customStyle="1" w:styleId="af">
    <w:basedOn w:val="TableNormal"/>
    <w:tblPr>
      <w:tblStyleRowBandSize w:val="1"/>
      <w:tblStyleColBandSize w:val="1"/>
      <w:tblCellMar>
        <w:left w:w="99" w:type="dxa"/>
        <w:right w:w="99" w:type="dxa"/>
      </w:tblCellMar>
    </w:tblPr>
  </w:style>
  <w:style w:type="table" w:customStyle="1" w:styleId="af0">
    <w:basedOn w:val="TableNormal"/>
    <w:tblPr>
      <w:tblStyleRowBandSize w:val="1"/>
      <w:tblStyleColBandSize w:val="1"/>
      <w:tblCellMar>
        <w:left w:w="99" w:type="dxa"/>
        <w:right w:w="99" w:type="dxa"/>
      </w:tblCellMar>
    </w:tblPr>
  </w:style>
  <w:style w:type="table" w:customStyle="1" w:styleId="af1">
    <w:basedOn w:val="TableNormal"/>
    <w:tblPr>
      <w:tblStyleRowBandSize w:val="1"/>
      <w:tblStyleColBandSize w:val="1"/>
      <w:tblCellMar>
        <w:left w:w="99" w:type="dxa"/>
        <w:right w:w="99" w:type="dxa"/>
      </w:tblCellMar>
    </w:tblPr>
  </w:style>
  <w:style w:type="table" w:customStyle="1" w:styleId="af2">
    <w:basedOn w:val="TableNormal"/>
    <w:tblPr>
      <w:tblStyleRowBandSize w:val="1"/>
      <w:tblStyleColBandSize w:val="1"/>
      <w:tblCellMar>
        <w:left w:w="99" w:type="dxa"/>
        <w:right w:w="99" w:type="dxa"/>
      </w:tblCellMar>
    </w:tblPr>
  </w:style>
  <w:style w:type="table" w:customStyle="1" w:styleId="af3">
    <w:basedOn w:val="TableNormal"/>
    <w:tblPr>
      <w:tblStyleRowBandSize w:val="1"/>
      <w:tblStyleColBandSize w:val="1"/>
      <w:tblCellMar>
        <w:left w:w="99" w:type="dxa"/>
        <w:right w:w="99" w:type="dxa"/>
      </w:tblCellMar>
    </w:tblPr>
  </w:style>
  <w:style w:type="table" w:customStyle="1" w:styleId="af4">
    <w:basedOn w:val="TableNormal"/>
    <w:tblPr>
      <w:tblStyleRowBandSize w:val="1"/>
      <w:tblStyleColBandSize w:val="1"/>
      <w:tblCellMar>
        <w:left w:w="99" w:type="dxa"/>
        <w:right w:w="99" w:type="dxa"/>
      </w:tblCellMar>
    </w:tblPr>
  </w:style>
  <w:style w:type="table" w:customStyle="1" w:styleId="af5">
    <w:basedOn w:val="TableNormal"/>
    <w:tblPr>
      <w:tblStyleRowBandSize w:val="1"/>
      <w:tblStyleColBandSize w:val="1"/>
      <w:tblCellMar>
        <w:left w:w="99" w:type="dxa"/>
        <w:right w:w="99" w:type="dxa"/>
      </w:tblCellMar>
    </w:tblPr>
  </w:style>
  <w:style w:type="table" w:customStyle="1" w:styleId="af6">
    <w:basedOn w:val="TableNormal"/>
    <w:tblPr>
      <w:tblStyleRowBandSize w:val="1"/>
      <w:tblStyleColBandSize w:val="1"/>
      <w:tblCellMar>
        <w:left w:w="99" w:type="dxa"/>
        <w:right w:w="99" w:type="dxa"/>
      </w:tblCellMar>
    </w:tblPr>
  </w:style>
  <w:style w:type="table" w:customStyle="1" w:styleId="af7">
    <w:basedOn w:val="TableNormal"/>
    <w:tblPr>
      <w:tblStyleRowBandSize w:val="1"/>
      <w:tblStyleColBandSize w:val="1"/>
      <w:tblCellMar>
        <w:left w:w="99" w:type="dxa"/>
        <w:right w:w="99" w:type="dxa"/>
      </w:tblCellMar>
    </w:tblPr>
  </w:style>
  <w:style w:type="table" w:customStyle="1" w:styleId="af8">
    <w:basedOn w:val="TableNormal"/>
    <w:tblPr>
      <w:tblStyleRowBandSize w:val="1"/>
      <w:tblStyleColBandSize w:val="1"/>
      <w:tblCellMar>
        <w:left w:w="99" w:type="dxa"/>
        <w:right w:w="99" w:type="dxa"/>
      </w:tblCellMar>
    </w:tblPr>
  </w:style>
  <w:style w:type="table" w:customStyle="1" w:styleId="af9">
    <w:basedOn w:val="TableNormal"/>
    <w:tblPr>
      <w:tblStyleRowBandSize w:val="1"/>
      <w:tblStyleColBandSize w:val="1"/>
      <w:tblCellMar>
        <w:left w:w="99" w:type="dxa"/>
        <w:right w:w="99" w:type="dxa"/>
      </w:tblCellMar>
    </w:tblPr>
  </w:style>
  <w:style w:type="table" w:customStyle="1" w:styleId="afa">
    <w:basedOn w:val="TableNormal"/>
    <w:tblPr>
      <w:tblStyleRowBandSize w:val="1"/>
      <w:tblStyleColBandSize w:val="1"/>
      <w:tblCellMar>
        <w:left w:w="99" w:type="dxa"/>
        <w:right w:w="99" w:type="dxa"/>
      </w:tblCellMar>
    </w:tblPr>
  </w:style>
  <w:style w:type="table" w:customStyle="1" w:styleId="afb">
    <w:basedOn w:val="TableNormal"/>
    <w:tblPr>
      <w:tblStyleRowBandSize w:val="1"/>
      <w:tblStyleColBandSize w:val="1"/>
      <w:tblCellMar>
        <w:left w:w="99" w:type="dxa"/>
        <w:right w:w="99" w:type="dxa"/>
      </w:tblCellMar>
    </w:tblPr>
  </w:style>
  <w:style w:type="table" w:customStyle="1" w:styleId="afc">
    <w:basedOn w:val="TableNormal"/>
    <w:tblPr>
      <w:tblStyleRowBandSize w:val="1"/>
      <w:tblStyleColBandSize w:val="1"/>
      <w:tblCellMar>
        <w:left w:w="99" w:type="dxa"/>
        <w:right w:w="99" w:type="dxa"/>
      </w:tblCellMar>
    </w:tblPr>
  </w:style>
  <w:style w:type="table" w:customStyle="1" w:styleId="afd">
    <w:basedOn w:val="TableNormal"/>
    <w:tblPr>
      <w:tblStyleRowBandSize w:val="1"/>
      <w:tblStyleColBandSize w:val="1"/>
      <w:tblCellMar>
        <w:left w:w="99" w:type="dxa"/>
        <w:right w:w="99" w:type="dxa"/>
      </w:tblCellMar>
    </w:tblPr>
  </w:style>
  <w:style w:type="table" w:customStyle="1" w:styleId="afe">
    <w:basedOn w:val="TableNormal"/>
    <w:tblPr>
      <w:tblStyleRowBandSize w:val="1"/>
      <w:tblStyleColBandSize w:val="1"/>
      <w:tblCellMar>
        <w:left w:w="99" w:type="dxa"/>
        <w:right w:w="99" w:type="dxa"/>
      </w:tblCellMar>
    </w:tblPr>
  </w:style>
  <w:style w:type="table" w:customStyle="1" w:styleId="aff">
    <w:basedOn w:val="TableNormal"/>
    <w:tblPr>
      <w:tblStyleRowBandSize w:val="1"/>
      <w:tblStyleColBandSize w:val="1"/>
      <w:tblCellMar>
        <w:left w:w="99" w:type="dxa"/>
        <w:right w:w="99" w:type="dxa"/>
      </w:tblCellMar>
    </w:tblPr>
  </w:style>
  <w:style w:type="table" w:customStyle="1" w:styleId="aff0">
    <w:basedOn w:val="TableNormal"/>
    <w:tblPr>
      <w:tblStyleRowBandSize w:val="1"/>
      <w:tblStyleColBandSize w:val="1"/>
      <w:tblCellMar>
        <w:left w:w="99" w:type="dxa"/>
        <w:right w:w="99" w:type="dxa"/>
      </w:tblCellMar>
    </w:tblPr>
  </w:style>
  <w:style w:type="table" w:customStyle="1" w:styleId="aff1">
    <w:basedOn w:val="TableNormal"/>
    <w:tblPr>
      <w:tblStyleRowBandSize w:val="1"/>
      <w:tblStyleColBandSize w:val="1"/>
      <w:tblCellMar>
        <w:left w:w="99" w:type="dxa"/>
        <w:right w:w="99" w:type="dxa"/>
      </w:tblCellMar>
    </w:tblPr>
  </w:style>
  <w:style w:type="table" w:customStyle="1" w:styleId="aff2">
    <w:basedOn w:val="TableNormal"/>
    <w:tblPr>
      <w:tblStyleRowBandSize w:val="1"/>
      <w:tblStyleColBandSize w:val="1"/>
      <w:tblCellMar>
        <w:left w:w="99" w:type="dxa"/>
        <w:right w:w="99" w:type="dxa"/>
      </w:tblCellMar>
    </w:tblPr>
  </w:style>
  <w:style w:type="table" w:customStyle="1" w:styleId="aff3">
    <w:basedOn w:val="TableNormal"/>
    <w:tblPr>
      <w:tblStyleRowBandSize w:val="1"/>
      <w:tblStyleColBandSize w:val="1"/>
      <w:tblCellMar>
        <w:left w:w="99" w:type="dxa"/>
        <w:right w:w="99" w:type="dxa"/>
      </w:tblCellMar>
    </w:tblPr>
  </w:style>
  <w:style w:type="table" w:customStyle="1" w:styleId="aff4">
    <w:basedOn w:val="TableNormal"/>
    <w:tblPr>
      <w:tblStyleRowBandSize w:val="1"/>
      <w:tblStyleColBandSize w:val="1"/>
      <w:tblCellMar>
        <w:left w:w="99" w:type="dxa"/>
        <w:right w:w="99" w:type="dxa"/>
      </w:tblCellMar>
    </w:tblPr>
  </w:style>
  <w:style w:type="table" w:customStyle="1" w:styleId="aff5">
    <w:basedOn w:val="TableNormal"/>
    <w:tblPr>
      <w:tblStyleRowBandSize w:val="1"/>
      <w:tblStyleColBandSize w:val="1"/>
      <w:tblCellMar>
        <w:left w:w="99" w:type="dxa"/>
        <w:right w:w="99" w:type="dxa"/>
      </w:tblCellMar>
    </w:tblPr>
  </w:style>
  <w:style w:type="table" w:customStyle="1" w:styleId="aff6">
    <w:basedOn w:val="TableNormal"/>
    <w:tblPr>
      <w:tblStyleRowBandSize w:val="1"/>
      <w:tblStyleColBandSize w:val="1"/>
      <w:tblCellMar>
        <w:left w:w="99" w:type="dxa"/>
        <w:right w:w="99" w:type="dxa"/>
      </w:tblCellMar>
    </w:tblPr>
  </w:style>
  <w:style w:type="table" w:customStyle="1" w:styleId="aff7">
    <w:basedOn w:val="TableNormal"/>
    <w:tblPr>
      <w:tblStyleRowBandSize w:val="1"/>
      <w:tblStyleColBandSize w:val="1"/>
      <w:tblCellMar>
        <w:left w:w="99" w:type="dxa"/>
        <w:right w:w="99" w:type="dxa"/>
      </w:tblCellMar>
    </w:tblPr>
  </w:style>
  <w:style w:type="table" w:customStyle="1" w:styleId="aff8">
    <w:basedOn w:val="TableNormal"/>
    <w:tblPr>
      <w:tblStyleRowBandSize w:val="1"/>
      <w:tblStyleColBandSize w:val="1"/>
      <w:tblCellMar>
        <w:left w:w="99" w:type="dxa"/>
        <w:right w:w="99" w:type="dxa"/>
      </w:tblCellMar>
    </w:tblPr>
  </w:style>
  <w:style w:type="table" w:customStyle="1" w:styleId="aff9">
    <w:basedOn w:val="TableNormal"/>
    <w:tblPr>
      <w:tblStyleRowBandSize w:val="1"/>
      <w:tblStyleColBandSize w:val="1"/>
      <w:tblCellMar>
        <w:left w:w="99" w:type="dxa"/>
        <w:right w:w="99" w:type="dxa"/>
      </w:tblCellMar>
    </w:tblPr>
  </w:style>
  <w:style w:type="table" w:customStyle="1" w:styleId="affa">
    <w:basedOn w:val="TableNormal"/>
    <w:tblPr>
      <w:tblStyleRowBandSize w:val="1"/>
      <w:tblStyleColBandSize w:val="1"/>
      <w:tblCellMar>
        <w:left w:w="99" w:type="dxa"/>
        <w:right w:w="99" w:type="dxa"/>
      </w:tblCellMar>
    </w:tblPr>
  </w:style>
  <w:style w:type="table" w:customStyle="1" w:styleId="affb">
    <w:basedOn w:val="TableNormal"/>
    <w:tblPr>
      <w:tblStyleRowBandSize w:val="1"/>
      <w:tblStyleColBandSize w:val="1"/>
      <w:tblCellMar>
        <w:left w:w="99" w:type="dxa"/>
        <w:right w:w="99" w:type="dxa"/>
      </w:tblCellMar>
    </w:tblPr>
  </w:style>
  <w:style w:type="table" w:customStyle="1" w:styleId="affc">
    <w:basedOn w:val="TableNormal"/>
    <w:tblPr>
      <w:tblStyleRowBandSize w:val="1"/>
      <w:tblStyleColBandSize w:val="1"/>
      <w:tblCellMar>
        <w:left w:w="99" w:type="dxa"/>
        <w:right w:w="99" w:type="dxa"/>
      </w:tblCellMar>
    </w:tblPr>
  </w:style>
  <w:style w:type="table" w:customStyle="1" w:styleId="affd">
    <w:basedOn w:val="TableNormal"/>
    <w:tblPr>
      <w:tblStyleRowBandSize w:val="1"/>
      <w:tblStyleColBandSize w:val="1"/>
      <w:tblCellMar>
        <w:left w:w="99" w:type="dxa"/>
        <w:right w:w="99" w:type="dxa"/>
      </w:tblCellMar>
    </w:tblPr>
  </w:style>
  <w:style w:type="table" w:customStyle="1" w:styleId="affe">
    <w:basedOn w:val="TableNormal"/>
    <w:tblPr>
      <w:tblStyleRowBandSize w:val="1"/>
      <w:tblStyleColBandSize w:val="1"/>
      <w:tblCellMar>
        <w:left w:w="99" w:type="dxa"/>
        <w:right w:w="99" w:type="dxa"/>
      </w:tblCellMar>
    </w:tblPr>
  </w:style>
  <w:style w:type="paragraph" w:styleId="HTML">
    <w:name w:val="HTML Preformatted"/>
    <w:basedOn w:val="a"/>
    <w:link w:val="HTML0"/>
    <w:uiPriority w:val="99"/>
    <w:semiHidden/>
    <w:unhideWhenUsed/>
    <w:rsid w:val="008E158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8E158B"/>
    <w:rPr>
      <w:rFonts w:ascii="ＭＳ ゴシック" w:eastAsia="ＭＳ ゴシック" w:hAnsi="ＭＳ ゴシック" w:cs="ＭＳ ゴシック"/>
      <w:sz w:val="24"/>
      <w:szCs w:val="24"/>
    </w:rPr>
  </w:style>
  <w:style w:type="character" w:styleId="afff">
    <w:name w:val="annotation reference"/>
    <w:basedOn w:val="a0"/>
    <w:uiPriority w:val="99"/>
    <w:semiHidden/>
    <w:unhideWhenUsed/>
    <w:rsid w:val="00C54535"/>
    <w:rPr>
      <w:sz w:val="18"/>
      <w:szCs w:val="18"/>
    </w:rPr>
  </w:style>
  <w:style w:type="paragraph" w:styleId="afff0">
    <w:name w:val="annotation text"/>
    <w:basedOn w:val="a"/>
    <w:link w:val="afff1"/>
    <w:uiPriority w:val="99"/>
    <w:semiHidden/>
    <w:unhideWhenUsed/>
    <w:rsid w:val="00C54535"/>
    <w:pPr>
      <w:jc w:val="left"/>
    </w:pPr>
  </w:style>
  <w:style w:type="character" w:customStyle="1" w:styleId="afff1">
    <w:name w:val="コメント文字列 (文字)"/>
    <w:basedOn w:val="a0"/>
    <w:link w:val="afff0"/>
    <w:uiPriority w:val="99"/>
    <w:semiHidden/>
    <w:rsid w:val="00C54535"/>
  </w:style>
  <w:style w:type="paragraph" w:styleId="afff2">
    <w:name w:val="annotation subject"/>
    <w:basedOn w:val="afff0"/>
    <w:next w:val="afff0"/>
    <w:link w:val="afff3"/>
    <w:uiPriority w:val="99"/>
    <w:semiHidden/>
    <w:unhideWhenUsed/>
    <w:rsid w:val="00C54535"/>
    <w:rPr>
      <w:b/>
      <w:bCs/>
    </w:rPr>
  </w:style>
  <w:style w:type="character" w:customStyle="1" w:styleId="afff3">
    <w:name w:val="コメント内容 (文字)"/>
    <w:basedOn w:val="afff1"/>
    <w:link w:val="afff2"/>
    <w:uiPriority w:val="99"/>
    <w:semiHidden/>
    <w:rsid w:val="00C54535"/>
    <w:rPr>
      <w:b/>
      <w:bCs/>
    </w:rPr>
  </w:style>
  <w:style w:type="paragraph" w:styleId="afff4">
    <w:name w:val="Balloon Text"/>
    <w:basedOn w:val="a"/>
    <w:link w:val="afff5"/>
    <w:uiPriority w:val="99"/>
    <w:semiHidden/>
    <w:unhideWhenUsed/>
    <w:rsid w:val="00C54535"/>
    <w:rPr>
      <w:rFonts w:asciiTheme="majorHAnsi" w:eastAsiaTheme="majorEastAsia" w:hAnsiTheme="majorHAnsi" w:cstheme="majorBidi"/>
      <w:sz w:val="18"/>
      <w:szCs w:val="18"/>
    </w:rPr>
  </w:style>
  <w:style w:type="character" w:customStyle="1" w:styleId="afff5">
    <w:name w:val="吹き出し (文字)"/>
    <w:basedOn w:val="a0"/>
    <w:link w:val="afff4"/>
    <w:uiPriority w:val="99"/>
    <w:semiHidden/>
    <w:rsid w:val="00C5453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87649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2022-10-25T00:48:00Z</dcterms:created>
  <dcterms:modified xsi:type="dcterms:W3CDTF">2022-10-25T00:48:00Z</dcterms:modified>
</cp:coreProperties>
</file>