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E6EE" w14:textId="77777777" w:rsidR="007848F9" w:rsidRDefault="007848F9" w:rsidP="007848F9">
      <w:pPr>
        <w:rPr>
          <w:rFonts w:ascii="Meiryo UI" w:eastAsia="Meiryo UI" w:hAnsi="Meiryo UI"/>
          <w:b/>
          <w:sz w:val="20"/>
          <w:szCs w:val="20"/>
        </w:rPr>
      </w:pPr>
      <w:r>
        <w:rPr>
          <w:rFonts w:ascii="Meiryo UI" w:eastAsia="Meiryo UI" w:hAnsi="Meiryo UI" w:hint="eastAsia"/>
          <w:b/>
          <w:sz w:val="20"/>
          <w:szCs w:val="20"/>
        </w:rPr>
        <w:t>長面浦</w:t>
      </w:r>
    </w:p>
    <w:p w14:paraId="1B6AFEF9" w14:textId="77777777" w:rsidR="007848F9" w:rsidRDefault="007848F9" w:rsidP="007848F9">
      <w:pPr>
        <w:rPr>
          <w:rFonts w:ascii="Meiryo UI" w:eastAsia="Meiryo UI" w:hAnsi="Meiryo UI" w:hint="eastAsia"/>
          <w:sz w:val="20"/>
          <w:szCs w:val="20"/>
        </w:rPr>
      </w:pPr>
      <w:r>
        <w:rPr>
          <w:rFonts w:ascii="Meiryo UI" w:eastAsia="Meiryo UI" w:hAnsi="Meiryo UI" w:hint="eastAsia"/>
          <w:sz w:val="20"/>
          <w:szCs w:val="20"/>
        </w:rPr>
        <w:t>北上川の河口からそう遠くない場所にある長面浦は太平洋と繋がっています。森と山に囲まれたこの養分が豊富な水域は、多種多様な海洋生物にとって素晴らしい生息地であり、商業漁業に利用されています。ここで獲れる魚介類は、長面浦にエサとなる小魚や魚卵を求めてやってくるカキ、ウナギ、スズキなどです。長面浦は2011年の東日本大震災で甚大な被害を受けましたが、地域の人々はこの自然生息地を復活させるための取り組みを行ってきました。森を通る道が長面浦と火伏の石碑をつないでいます。</w:t>
      </w:r>
    </w:p>
    <w:p w14:paraId="55187443" w14:textId="77777777" w:rsidR="00B71596" w:rsidRPr="007848F9" w:rsidRDefault="00B71596" w:rsidP="007848F9"/>
    <w:sectPr w:rsidR="00B71596" w:rsidRPr="007848F9"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848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40687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