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54AF9" w14:textId="77777777" w:rsidR="00644EF4" w:rsidRDefault="00644EF4" w:rsidP="00644EF4">
      <w:pPr>
        <w:widowControl/>
        <w:rPr>
          <w:sz w:val="22"/>
          <w:szCs w:val="22"/>
        </w:rPr>
      </w:pPr>
      <w:bookmarkStart w:id="0" w:name="_GoBack"/>
      <w:bookmarkEnd w:id="0"/>
      <w:r>
        <w:rPr>
          <w:rFonts w:hint="eastAsia"/>
          <w:b/>
          <w:color w:val="000000"/>
          <w:sz w:val="22"/>
          <w:szCs w:val="22"/>
        </w:rPr>
        <w:t>富本銭</w:t>
      </w:r>
    </w:p>
    <w:p w14:paraId="7AFA23AC" w14:textId="77777777" w:rsidR="00644EF4" w:rsidRDefault="00644EF4" w:rsidP="00644EF4">
      <w:pPr>
        <w:widowControl/>
        <w:jc w:val="left"/>
        <w:rPr>
          <w:sz w:val="22"/>
          <w:szCs w:val="22"/>
        </w:rPr>
      </w:pPr>
    </w:p>
    <w:p w14:paraId="693768EE" w14:textId="77777777" w:rsidR="00644EF4" w:rsidRDefault="00644EF4" w:rsidP="00644EF4">
      <w:pPr>
        <w:widowControl/>
        <w:rPr>
          <w:sz w:val="22"/>
          <w:szCs w:val="22"/>
        </w:rPr>
      </w:pPr>
      <w:r>
        <w:rPr>
          <w:rFonts w:hint="eastAsia"/>
          <w:color w:val="000000"/>
          <w:sz w:val="22"/>
          <w:szCs w:val="22"/>
        </w:rPr>
        <w:t>古墳時代（約</w:t>
      </w:r>
      <w:r>
        <w:rPr>
          <w:color w:val="000000"/>
          <w:sz w:val="22"/>
          <w:szCs w:val="22"/>
        </w:rPr>
        <w:t>250</w:t>
      </w:r>
      <w:r>
        <w:rPr>
          <w:rFonts w:hint="eastAsia"/>
          <w:color w:val="000000"/>
          <w:sz w:val="22"/>
          <w:szCs w:val="22"/>
        </w:rPr>
        <w:t>〜</w:t>
      </w:r>
      <w:r>
        <w:rPr>
          <w:color w:val="000000"/>
          <w:sz w:val="22"/>
          <w:szCs w:val="22"/>
        </w:rPr>
        <w:t>552</w:t>
      </w:r>
      <w:r>
        <w:rPr>
          <w:rFonts w:hint="eastAsia"/>
          <w:color w:val="000000"/>
          <w:sz w:val="22"/>
          <w:szCs w:val="22"/>
        </w:rPr>
        <w:t>年）までに、日本と他のアジア諸国との貿易はかなり進んでいました。日本人はこの貿易を利用して、独自の技術を進歩させながらノウハウを習得・発展させました。</w:t>
      </w:r>
      <w:r>
        <w:rPr>
          <w:color w:val="000000"/>
          <w:sz w:val="22"/>
          <w:szCs w:val="22"/>
        </w:rPr>
        <w:t xml:space="preserve"> </w:t>
      </w:r>
      <w:r>
        <w:rPr>
          <w:rFonts w:hint="eastAsia"/>
          <w:color w:val="000000"/>
          <w:sz w:val="22"/>
          <w:szCs w:val="22"/>
        </w:rPr>
        <w:t>藤岡は、富本銭硬貨が発見された日本で最も東に位置する場所です。中国のモデルを元にした金属製のコインで、真ん中に穴が開いています（現在の日本の</w:t>
      </w:r>
      <w:r>
        <w:rPr>
          <w:color w:val="000000"/>
          <w:sz w:val="22"/>
          <w:szCs w:val="22"/>
        </w:rPr>
        <w:t>5</w:t>
      </w:r>
      <w:r>
        <w:rPr>
          <w:rFonts w:hint="eastAsia"/>
          <w:color w:val="000000"/>
          <w:sz w:val="22"/>
          <w:szCs w:val="22"/>
        </w:rPr>
        <w:t>円や</w:t>
      </w:r>
      <w:r>
        <w:rPr>
          <w:color w:val="000000"/>
          <w:sz w:val="22"/>
          <w:szCs w:val="22"/>
        </w:rPr>
        <w:t>50</w:t>
      </w:r>
      <w:r>
        <w:rPr>
          <w:rFonts w:hint="eastAsia"/>
          <w:color w:val="000000"/>
          <w:sz w:val="22"/>
          <w:szCs w:val="22"/>
        </w:rPr>
        <w:t>円硬貨とは異なります）。</w:t>
      </w:r>
      <w:r>
        <w:rPr>
          <w:rFonts w:hint="eastAsia"/>
          <w:sz w:val="22"/>
          <w:szCs w:val="22"/>
        </w:rPr>
        <w:t>また、硬貨には</w:t>
      </w:r>
      <w:r>
        <w:rPr>
          <w:sz w:val="22"/>
          <w:szCs w:val="22"/>
        </w:rPr>
        <w:t xml:space="preserve"> "</w:t>
      </w:r>
      <w:r>
        <w:rPr>
          <w:rFonts w:hint="eastAsia"/>
          <w:sz w:val="22"/>
          <w:szCs w:val="22"/>
        </w:rPr>
        <w:t>七日の星</w:t>
      </w:r>
      <w:r>
        <w:rPr>
          <w:sz w:val="22"/>
          <w:szCs w:val="22"/>
        </w:rPr>
        <w:t xml:space="preserve"> "</w:t>
      </w:r>
      <w:r>
        <w:rPr>
          <w:rFonts w:hint="eastAsia"/>
          <w:sz w:val="22"/>
          <w:szCs w:val="22"/>
        </w:rPr>
        <w:t>と呼ばれる七つの点の六角形が描かれています。</w:t>
      </w:r>
      <w:r>
        <w:rPr>
          <w:rFonts w:hint="eastAsia"/>
          <w:color w:val="000000"/>
          <w:sz w:val="22"/>
          <w:szCs w:val="22"/>
        </w:rPr>
        <w:t>点は陰と陽（太陽と月）と</w:t>
      </w:r>
      <w:r>
        <w:rPr>
          <w:color w:val="000000"/>
          <w:sz w:val="22"/>
          <w:szCs w:val="22"/>
        </w:rPr>
        <w:t>5</w:t>
      </w:r>
      <w:r>
        <w:rPr>
          <w:rFonts w:hint="eastAsia"/>
          <w:color w:val="000000"/>
          <w:sz w:val="22"/>
          <w:szCs w:val="22"/>
        </w:rPr>
        <w:t>つの自然要素（火、水、木、金属、土）を表しています。日本では、これらの</w:t>
      </w:r>
      <w:r>
        <w:rPr>
          <w:color w:val="000000"/>
          <w:sz w:val="22"/>
          <w:szCs w:val="22"/>
        </w:rPr>
        <w:t>7</w:t>
      </w:r>
      <w:r>
        <w:rPr>
          <w:rFonts w:hint="eastAsia"/>
          <w:color w:val="000000"/>
          <w:sz w:val="22"/>
          <w:szCs w:val="22"/>
        </w:rPr>
        <w:t>つの要素は、週の</w:t>
      </w:r>
      <w:r>
        <w:rPr>
          <w:color w:val="000000"/>
          <w:sz w:val="22"/>
          <w:szCs w:val="22"/>
        </w:rPr>
        <w:t>7</w:t>
      </w:r>
      <w:r>
        <w:rPr>
          <w:rFonts w:hint="eastAsia"/>
          <w:color w:val="000000"/>
          <w:sz w:val="22"/>
          <w:szCs w:val="22"/>
        </w:rPr>
        <w:t>日間に使用される漢字でも連続して表されます。</w:t>
      </w:r>
    </w:p>
    <w:p w14:paraId="0DC15E96" w14:textId="77777777" w:rsidR="00644EF4" w:rsidRDefault="00644EF4" w:rsidP="00644EF4">
      <w:pPr>
        <w:widowControl/>
        <w:rPr>
          <w:sz w:val="22"/>
          <w:szCs w:val="22"/>
        </w:rPr>
      </w:pPr>
      <w:r>
        <w:rPr>
          <w:rFonts w:hint="eastAsia"/>
          <w:color w:val="000000"/>
          <w:sz w:val="22"/>
          <w:szCs w:val="22"/>
        </w:rPr>
        <w:t>硬貨は主に銅でできており、銀と蒼鉛の痕跡があります。学者たちは、硬貨が通貨として使用されたのか、それとも単なるお守りであったのかを議論しています。もし通貨として使用されていたならば、それらは日本で使用された最も古いお金になります。</w:t>
      </w:r>
    </w:p>
    <w:p w14:paraId="4E565817" w14:textId="77777777" w:rsidR="00644EF4" w:rsidRDefault="00644EF4" w:rsidP="00644EF4">
      <w:pPr>
        <w:widowControl/>
        <w:rPr>
          <w:sz w:val="22"/>
          <w:szCs w:val="22"/>
        </w:rPr>
      </w:pPr>
    </w:p>
    <w:p w14:paraId="617E3BA7" w14:textId="77777777" w:rsidR="00644EF4" w:rsidRDefault="00644EF4" w:rsidP="00644EF4">
      <w:pPr>
        <w:widowControl/>
        <w:rPr>
          <w:sz w:val="22"/>
          <w:szCs w:val="22"/>
        </w:rPr>
      </w:pPr>
      <w:r>
        <w:rPr>
          <w:rFonts w:hint="eastAsia"/>
          <w:b/>
          <w:color w:val="000000"/>
          <w:sz w:val="22"/>
          <w:szCs w:val="22"/>
        </w:rPr>
        <w:t>須恵器</w:t>
      </w:r>
    </w:p>
    <w:p w14:paraId="42C35294" w14:textId="77777777" w:rsidR="00644EF4" w:rsidRDefault="00644EF4" w:rsidP="00644EF4">
      <w:pPr>
        <w:widowControl/>
        <w:rPr>
          <w:sz w:val="22"/>
          <w:szCs w:val="22"/>
        </w:rPr>
      </w:pPr>
      <w:r>
        <w:rPr>
          <w:color w:val="000000"/>
          <w:sz w:val="22"/>
          <w:szCs w:val="22"/>
        </w:rPr>
        <w:t xml:space="preserve"> </w:t>
      </w:r>
    </w:p>
    <w:p w14:paraId="5A43DA98" w14:textId="77777777" w:rsidR="00644EF4" w:rsidRDefault="00644EF4" w:rsidP="00644EF4">
      <w:pPr>
        <w:widowControl/>
        <w:rPr>
          <w:sz w:val="22"/>
          <w:szCs w:val="22"/>
        </w:rPr>
      </w:pPr>
      <w:r>
        <w:rPr>
          <w:rFonts w:hint="eastAsia"/>
          <w:color w:val="000000"/>
          <w:sz w:val="22"/>
          <w:szCs w:val="22"/>
        </w:rPr>
        <w:t>須恵器は、古墳時代に朝鮮半島からの入植者によって日本に伝わった青灰色の焼き物です。それ以前の時代と同じように、粘土の束を所望の壺の形に巻いて、その形の表面を叩いて滑らかにしたものが作られていました。須恵器で使用される焼成技術は以前より高度で、比較的密閉された窯とより高い焼成温度（</w:t>
      </w:r>
      <w:r>
        <w:rPr>
          <w:color w:val="000000"/>
          <w:sz w:val="22"/>
          <w:szCs w:val="22"/>
        </w:rPr>
        <w:t>1,000°C</w:t>
      </w:r>
      <w:r>
        <w:rPr>
          <w:rFonts w:hint="eastAsia"/>
          <w:color w:val="000000"/>
          <w:sz w:val="22"/>
          <w:szCs w:val="22"/>
        </w:rPr>
        <w:t>）を使用していました。</w:t>
      </w:r>
    </w:p>
    <w:p w14:paraId="7825E975" w14:textId="77777777" w:rsidR="00644EF4" w:rsidRDefault="00644EF4" w:rsidP="00644EF4">
      <w:pPr>
        <w:widowControl/>
        <w:rPr>
          <w:sz w:val="22"/>
          <w:szCs w:val="22"/>
        </w:rPr>
      </w:pPr>
      <w:r>
        <w:rPr>
          <w:rFonts w:hint="eastAsia"/>
          <w:color w:val="000000"/>
          <w:sz w:val="22"/>
          <w:szCs w:val="22"/>
        </w:rPr>
        <w:t>須恵器の生産が始まったとき、焼き付け技術はまだ知られていませんでした。</w:t>
      </w:r>
      <w:r>
        <w:rPr>
          <w:rFonts w:hint="eastAsia"/>
          <w:sz w:val="22"/>
          <w:szCs w:val="22"/>
        </w:rPr>
        <w:t>焼成中に偶然灰が溶けて釉薬のような表面になることもあります。</w:t>
      </w:r>
    </w:p>
    <w:p w14:paraId="617A3173" w14:textId="77777777" w:rsidR="00644EF4" w:rsidRDefault="00644EF4" w:rsidP="00644EF4">
      <w:pPr>
        <w:widowControl/>
        <w:rPr>
          <w:sz w:val="22"/>
          <w:szCs w:val="22"/>
        </w:rPr>
      </w:pPr>
      <w:r>
        <w:rPr>
          <w:rFonts w:hint="eastAsia"/>
          <w:color w:val="000000"/>
          <w:sz w:val="22"/>
          <w:szCs w:val="22"/>
        </w:rPr>
        <w:t>このスタイルで働く陶芸家は、丈夫な屋根瓦やさまざまな日用品を生産しました。</w:t>
      </w:r>
    </w:p>
    <w:p w14:paraId="27C80409" w14:textId="77777777" w:rsidR="00644EF4" w:rsidRDefault="00644EF4" w:rsidP="00644EF4">
      <w:pPr>
        <w:widowControl/>
        <w:rPr>
          <w:sz w:val="22"/>
          <w:szCs w:val="22"/>
        </w:rPr>
      </w:pPr>
      <w:r>
        <w:rPr>
          <w:rFonts w:hint="eastAsia"/>
          <w:color w:val="000000"/>
          <w:sz w:val="22"/>
          <w:szCs w:val="22"/>
        </w:rPr>
        <w:t>博物館の須恵器のコレクションは、主に平安時代（</w:t>
      </w:r>
      <w:r>
        <w:rPr>
          <w:color w:val="000000"/>
          <w:sz w:val="22"/>
          <w:szCs w:val="22"/>
        </w:rPr>
        <w:t>794</w:t>
      </w:r>
      <w:r>
        <w:rPr>
          <w:rFonts w:hint="eastAsia"/>
          <w:color w:val="000000"/>
          <w:sz w:val="22"/>
          <w:szCs w:val="22"/>
        </w:rPr>
        <w:t>〜</w:t>
      </w:r>
      <w:r>
        <w:rPr>
          <w:color w:val="000000"/>
          <w:sz w:val="22"/>
          <w:szCs w:val="22"/>
        </w:rPr>
        <w:t>1185</w:t>
      </w:r>
      <w:r>
        <w:rPr>
          <w:rFonts w:hint="eastAsia"/>
          <w:color w:val="000000"/>
          <w:sz w:val="22"/>
          <w:szCs w:val="22"/>
        </w:rPr>
        <w:t>）にまでさかのぼります。他にも、中国から輸入した青磁釉の鉢の破片など、平安時代の土器が展示されています。</w:t>
      </w:r>
    </w:p>
    <w:p w14:paraId="3F4F9F64" w14:textId="77777777" w:rsidR="00644EF4" w:rsidRDefault="00644EF4" w:rsidP="00644EF4">
      <w:pPr>
        <w:widowControl/>
        <w:jc w:val="left"/>
        <w:rPr>
          <w:sz w:val="22"/>
          <w:szCs w:val="22"/>
        </w:rPr>
      </w:pPr>
    </w:p>
    <w:p w14:paraId="6CA29C29" w14:textId="77777777" w:rsidR="00644EF4" w:rsidRDefault="00644EF4" w:rsidP="00644EF4">
      <w:pPr>
        <w:widowControl/>
        <w:rPr>
          <w:sz w:val="22"/>
          <w:szCs w:val="22"/>
        </w:rPr>
      </w:pPr>
      <w:r>
        <w:rPr>
          <w:rFonts w:hint="eastAsia"/>
          <w:b/>
          <w:color w:val="000000"/>
          <w:sz w:val="22"/>
          <w:szCs w:val="22"/>
        </w:rPr>
        <w:t>金属の遺物</w:t>
      </w:r>
    </w:p>
    <w:p w14:paraId="354DD31F" w14:textId="77777777" w:rsidR="00644EF4" w:rsidRDefault="00644EF4" w:rsidP="00644EF4">
      <w:pPr>
        <w:widowControl/>
        <w:rPr>
          <w:sz w:val="22"/>
          <w:szCs w:val="22"/>
        </w:rPr>
      </w:pPr>
      <w:r>
        <w:rPr>
          <w:color w:val="000000"/>
          <w:sz w:val="22"/>
          <w:szCs w:val="22"/>
        </w:rPr>
        <w:t xml:space="preserve"> </w:t>
      </w:r>
    </w:p>
    <w:p w14:paraId="05A91A6A" w14:textId="77777777" w:rsidR="00644EF4" w:rsidRDefault="00644EF4" w:rsidP="00644EF4">
      <w:pPr>
        <w:widowControl/>
        <w:rPr>
          <w:sz w:val="22"/>
          <w:szCs w:val="22"/>
        </w:rPr>
      </w:pPr>
      <w:r>
        <w:rPr>
          <w:rFonts w:hint="eastAsia"/>
          <w:color w:val="000000"/>
          <w:sz w:val="22"/>
          <w:szCs w:val="22"/>
        </w:rPr>
        <w:t>博物館には、平安時代の金属工芸品もいくつかあります。ディスプレイで重要なのは、鍬の先端部分であった馬蹄形の金属片です（その道具の残りの部分は木製でした）。</w:t>
      </w:r>
      <w:r>
        <w:rPr>
          <w:rFonts w:hint="eastAsia"/>
          <w:sz w:val="22"/>
          <w:szCs w:val="22"/>
        </w:rPr>
        <w:t>他にも斧の刃、鎌の刃、紡錘の渦巻きなど、当時の道具があります。</w:t>
      </w:r>
    </w:p>
    <w:p w14:paraId="4367194B" w14:textId="77777777" w:rsidR="00644EF4" w:rsidRDefault="00644EF4" w:rsidP="00644EF4">
      <w:pPr>
        <w:widowControl/>
        <w:jc w:val="left"/>
        <w:rPr>
          <w:sz w:val="22"/>
          <w:szCs w:val="22"/>
        </w:rPr>
      </w:pPr>
    </w:p>
    <w:p w14:paraId="65422258" w14:textId="77777777" w:rsidR="00644EF4" w:rsidRDefault="00644EF4" w:rsidP="00644EF4">
      <w:pPr>
        <w:widowControl/>
        <w:rPr>
          <w:sz w:val="22"/>
          <w:szCs w:val="22"/>
        </w:rPr>
      </w:pPr>
      <w:r>
        <w:rPr>
          <w:rFonts w:hint="eastAsia"/>
          <w:b/>
          <w:color w:val="000000"/>
          <w:sz w:val="22"/>
          <w:szCs w:val="22"/>
        </w:rPr>
        <w:t>城跡</w:t>
      </w:r>
    </w:p>
    <w:p w14:paraId="352C6A7A" w14:textId="77777777" w:rsidR="00644EF4" w:rsidRDefault="00644EF4" w:rsidP="00644EF4">
      <w:pPr>
        <w:widowControl/>
        <w:rPr>
          <w:sz w:val="22"/>
          <w:szCs w:val="22"/>
        </w:rPr>
      </w:pPr>
      <w:r>
        <w:rPr>
          <w:color w:val="000000"/>
          <w:sz w:val="22"/>
          <w:szCs w:val="22"/>
        </w:rPr>
        <w:t xml:space="preserve"> </w:t>
      </w:r>
    </w:p>
    <w:p w14:paraId="03FDA25D" w14:textId="77777777" w:rsidR="00644EF4" w:rsidRDefault="00644EF4" w:rsidP="00644EF4">
      <w:pPr>
        <w:widowControl/>
        <w:rPr>
          <w:sz w:val="22"/>
          <w:szCs w:val="22"/>
        </w:rPr>
      </w:pPr>
      <w:r>
        <w:rPr>
          <w:rFonts w:hint="eastAsia"/>
          <w:color w:val="000000"/>
          <w:sz w:val="22"/>
          <w:szCs w:val="22"/>
        </w:rPr>
        <w:t>室町時代（</w:t>
      </w:r>
      <w:r>
        <w:rPr>
          <w:color w:val="000000"/>
          <w:sz w:val="22"/>
          <w:szCs w:val="22"/>
        </w:rPr>
        <w:t>1336</w:t>
      </w:r>
      <w:r>
        <w:rPr>
          <w:rFonts w:hint="eastAsia"/>
          <w:color w:val="000000"/>
          <w:sz w:val="22"/>
          <w:szCs w:val="22"/>
        </w:rPr>
        <w:t>〜</w:t>
      </w:r>
      <w:r>
        <w:rPr>
          <w:color w:val="000000"/>
          <w:sz w:val="22"/>
          <w:szCs w:val="22"/>
        </w:rPr>
        <w:t>1573</w:t>
      </w:r>
      <w:r>
        <w:rPr>
          <w:rFonts w:hint="eastAsia"/>
          <w:color w:val="000000"/>
          <w:sz w:val="22"/>
          <w:szCs w:val="22"/>
        </w:rPr>
        <w:t>）、藤岡は地域防衛の重要な中心地であり、多くの城跡が残っています。この時代の日本の城は、主に陣地の土塁を築造したもので、周囲を海溝のような乾いた堀で囲まれていることが多かったです。</w:t>
      </w:r>
    </w:p>
    <w:p w14:paraId="344A8DAC" w14:textId="77777777" w:rsidR="00644EF4" w:rsidRDefault="00644EF4" w:rsidP="00644EF4">
      <w:pPr>
        <w:widowControl/>
        <w:rPr>
          <w:sz w:val="22"/>
          <w:szCs w:val="22"/>
        </w:rPr>
      </w:pPr>
      <w:r>
        <w:rPr>
          <w:color w:val="000000"/>
          <w:sz w:val="22"/>
          <w:szCs w:val="22"/>
        </w:rPr>
        <w:t>15</w:t>
      </w:r>
      <w:r>
        <w:rPr>
          <w:rFonts w:hint="eastAsia"/>
          <w:color w:val="000000"/>
          <w:sz w:val="22"/>
          <w:szCs w:val="22"/>
        </w:rPr>
        <w:t>世紀半ばに築かれた平井城跡と金山城跡は、このタイプの城の例です。平井城はやや丘の上に建てられ、金山城は山頂の要塞であり、敵の接近を監視することができました。両方の城は</w:t>
      </w:r>
      <w:r>
        <w:rPr>
          <w:color w:val="000000"/>
          <w:sz w:val="22"/>
          <w:szCs w:val="22"/>
        </w:rPr>
        <w:t>16</w:t>
      </w:r>
      <w:r>
        <w:rPr>
          <w:rFonts w:hint="eastAsia"/>
          <w:color w:val="000000"/>
          <w:sz w:val="22"/>
          <w:szCs w:val="22"/>
        </w:rPr>
        <w:t>世紀半ばまでに使用されなくなりました。</w:t>
      </w:r>
    </w:p>
    <w:p w14:paraId="5837B1C1" w14:textId="77777777" w:rsidR="00B70CD3" w:rsidRPr="00644EF4" w:rsidRDefault="00B70CD3" w:rsidP="00644EF4"/>
    <w:sectPr w:rsidR="00B70CD3" w:rsidRPr="00644EF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644EF4"/>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0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