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2A9C" w14:textId="77777777" w:rsidR="006A0B40" w:rsidRDefault="006A0B40" w:rsidP="006A0B40">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rPr>
        <w:t xml:space="preserve">宗像でのサイクリング  </w:t>
      </w:r>
    </w:p>
    <w:p w14:paraId="19127339" w14:textId="77777777" w:rsidR="006A0B40" w:rsidRDefault="006A0B40" w:rsidP="006A0B40">
      <w:pPr>
        <w:spacing w:line="360" w:lineRule="auto"/>
        <w:rPr>
          <w:rFonts w:ascii="Meiryo UI" w:eastAsia="Meiryo UI" w:hAnsi="Meiryo UI" w:cs="Meiryo UI" w:hint="eastAsia"/>
          <w:sz w:val="22"/>
          <w:szCs w:val="22"/>
        </w:rPr>
      </w:pPr>
    </w:p>
    <w:p w14:paraId="73DB0F4C" w14:textId="77777777" w:rsidR="006A0B40" w:rsidRDefault="006A0B40" w:rsidP="006A0B40">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自転車道を使えば、宗像地域を自分のペースで探索できます。自転車道は、自動車が入れないことを示す青色に塗られており、はっきり分かるようになっています。自転車道は、歴史・自然に関する見どころや、玄海国定公園の一部を通っています。自転車道のほとんどは平坦で、すべての体力レベルの人に適しています。ただし、山の近くではより起伏の大きな箇所もあります。自転車を借りられる場所では、電動自転車も先着順で借りられます。 </w:t>
      </w:r>
    </w:p>
    <w:p w14:paraId="35E6BC4A" w14:textId="77777777" w:rsidR="006A0B40" w:rsidRDefault="006A0B40" w:rsidP="006A0B40">
      <w:pPr>
        <w:spacing w:line="360" w:lineRule="auto"/>
        <w:rPr>
          <w:rFonts w:ascii="Meiryo UI" w:eastAsia="Meiryo UI" w:hAnsi="Meiryo UI" w:cs="Meiryo UI" w:hint="eastAsia"/>
          <w:sz w:val="22"/>
          <w:szCs w:val="22"/>
        </w:rPr>
      </w:pPr>
    </w:p>
    <w:p w14:paraId="6FD22917" w14:textId="77777777" w:rsidR="006A0B40" w:rsidRDefault="006A0B40" w:rsidP="006A0B40">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宗像地域には、自転車を借りられる場所がいくつかあります。主な場所は「道の駅むなかた」です。ここを訪れれば、地域に関する情報と地図を手に入れることができます。また、東郷駅、赤間駅、「街道の駅 赤馬館」などでも自転車を借りられます。宗像地域の道沿いにはたくさんのレストランやカフェがあり、自転車置場も豊富です。 </w:t>
      </w:r>
    </w:p>
    <w:p w14:paraId="6C7F38C3" w14:textId="77777777" w:rsidR="006A0B40" w:rsidRDefault="006A0B40" w:rsidP="006A0B40">
      <w:pPr>
        <w:spacing w:line="360" w:lineRule="auto"/>
        <w:rPr>
          <w:rFonts w:ascii="Meiryo UI" w:eastAsia="Meiryo UI" w:hAnsi="Meiryo UI" w:cs="Meiryo UI" w:hint="eastAsia"/>
          <w:sz w:val="22"/>
          <w:szCs w:val="22"/>
        </w:rPr>
      </w:pPr>
    </w:p>
    <w:p w14:paraId="67B16FC6" w14:textId="77777777" w:rsidR="006A0B40" w:rsidRDefault="006A0B40" w:rsidP="006A0B40">
      <w:pPr>
        <w:spacing w:line="360" w:lineRule="auto"/>
        <w:rPr>
          <w:rFonts w:ascii="Meiryo UI" w:eastAsia="Meiryo UI" w:hAnsi="Meiryo UI" w:cs="Meiryo UI" w:hint="eastAsia"/>
          <w:sz w:val="22"/>
          <w:szCs w:val="22"/>
          <w:highlight w:val="white"/>
        </w:rPr>
      </w:pPr>
      <w:r>
        <w:rPr>
          <w:rFonts w:ascii="Meiryo UI" w:eastAsia="Meiryo UI" w:hAnsi="Meiryo UI" w:cs="Meiryo UI" w:hint="eastAsia"/>
          <w:sz w:val="22"/>
          <w:szCs w:val="22"/>
        </w:rPr>
        <w:t>この自転車道で特に素敵な場所の1つは、</w:t>
      </w:r>
      <w:r>
        <w:rPr>
          <w:rFonts w:ascii="Meiryo UI" w:eastAsia="Meiryo UI" w:hAnsi="Meiryo UI" w:cs="Meiryo UI" w:hint="eastAsia"/>
          <w:sz w:val="22"/>
          <w:szCs w:val="22"/>
          <w:highlight w:val="white"/>
        </w:rPr>
        <w:t>さつき松原遊歩道からクロマツの林を通って鐘崎漁港へ至る</w:t>
      </w:r>
      <w:r>
        <w:rPr>
          <w:rFonts w:ascii="Meiryo UI" w:eastAsia="Meiryo UI" w:hAnsi="Meiryo UI" w:cs="Meiryo UI" w:hint="eastAsia"/>
          <w:sz w:val="22"/>
          <w:szCs w:val="22"/>
        </w:rPr>
        <w:t>海辺の道です。</w:t>
      </w:r>
      <w:r>
        <w:rPr>
          <w:rFonts w:ascii="Meiryo UI" w:eastAsia="Meiryo UI" w:hAnsi="Meiryo UI" w:cs="Meiryo UI" w:hint="eastAsia"/>
          <w:sz w:val="22"/>
          <w:szCs w:val="22"/>
          <w:highlight w:val="white"/>
        </w:rPr>
        <w:t>さらに内陸に向かうと、この自転車道は、</w:t>
      </w:r>
      <w:r>
        <w:rPr>
          <w:rFonts w:ascii="Meiryo UI" w:eastAsia="Meiryo UI" w:hAnsi="Meiryo UI" w:cs="Meiryo UI" w:hint="eastAsia"/>
          <w:sz w:val="22"/>
          <w:szCs w:val="22"/>
        </w:rPr>
        <w:t>四塚連山の一部である湯川山 (471 m) の斜面の森を蛇行していきます</w:t>
      </w:r>
      <w:r>
        <w:rPr>
          <w:rFonts w:ascii="Meiryo UI" w:eastAsia="Meiryo UI" w:hAnsi="Meiryo UI" w:cs="Meiryo UI" w:hint="eastAsia"/>
          <w:sz w:val="22"/>
          <w:szCs w:val="22"/>
          <w:highlight w:val="white"/>
        </w:rPr>
        <w:t xml:space="preserve">。この自転車道の多くは田舎を走っており、田畑を通り過ぎていきます。宗像大社近くの吉田ダムを過ぎると、遠くに山々を見つつ田畑を通り抜けていくまっすぐな長い道を楽しむことができます。 </w:t>
      </w:r>
    </w:p>
    <w:p w14:paraId="0DE09B64" w14:textId="77777777" w:rsidR="00EE4629" w:rsidRPr="006A0B40" w:rsidRDefault="00EE4629" w:rsidP="006A0B40"/>
    <w:sectPr w:rsidR="00EE4629" w:rsidRPr="006A0B40">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6A0B40"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0B40"/>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08647">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