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245B74" w14:textId="77777777" w:rsidR="00CC3638" w:rsidRDefault="00CC3638" w:rsidP="00CC3638">
      <w:pPr>
        <w:spacing w:line="360" w:lineRule="auto"/>
        <w:jc w:val="both"/>
        <w:rPr>
          <w:rFonts w:ascii="Meiryo UI" w:eastAsia="Meiryo UI" w:hAnsi="Meiryo UI" w:cs="Meiryo UI"/>
          <w:b/>
          <w:color w:val="000000"/>
          <w:sz w:val="22"/>
          <w:szCs w:val="22"/>
        </w:rPr>
      </w:pPr>
      <w:r>
        <w:rPr>
          <w:rFonts w:ascii="Meiryo UI" w:eastAsia="Meiryo UI" w:hAnsi="Meiryo UI" w:cs="Meiryo UI" w:hint="eastAsia"/>
          <w:b/>
          <w:sz w:val="22"/>
          <w:szCs w:val="22"/>
        </w:rPr>
        <w:t>あなご</w:t>
      </w:r>
    </w:p>
    <w:p w14:paraId="70D53DF1" w14:textId="77777777" w:rsidR="00CC3638" w:rsidRDefault="00CC3638" w:rsidP="00CC3638">
      <w:pPr>
        <w:spacing w:line="360" w:lineRule="auto"/>
        <w:jc w:val="both"/>
        <w:rPr>
          <w:rFonts w:ascii="Meiryo UI" w:eastAsia="Meiryo UI" w:hAnsi="Meiryo UI" w:cs="Meiryo UI" w:hint="eastAsia"/>
          <w:sz w:val="22"/>
          <w:szCs w:val="22"/>
        </w:rPr>
      </w:pPr>
    </w:p>
    <w:p w14:paraId="3FB6275C" w14:textId="77777777" w:rsidR="00CC3638" w:rsidRDefault="00CC3638" w:rsidP="00CC3638">
      <w:pPr>
        <w:spacing w:line="360" w:lineRule="auto"/>
        <w:rPr>
          <w:rFonts w:ascii="Meiryo UI" w:eastAsia="Meiryo UI" w:hAnsi="Meiryo UI" w:cs="Meiryo UI" w:hint="eastAsia"/>
          <w:sz w:val="22"/>
          <w:szCs w:val="22"/>
        </w:rPr>
      </w:pPr>
      <w:r>
        <w:rPr>
          <w:rFonts w:ascii="Meiryo UI" w:eastAsia="Meiryo UI" w:hAnsi="Meiryo UI" w:cs="Meiryo UI" w:hint="eastAsia"/>
          <w:color w:val="202122"/>
          <w:sz w:val="22"/>
          <w:szCs w:val="22"/>
          <w:highlight w:val="white"/>
        </w:rPr>
        <w:t xml:space="preserve">宗像沖の海では、あなごがよく見られます。この海域は、福岡であなごが最も多く獲れるところです。獲れたあなごのほとんどは鐘崎港に水揚げされます。あなごは、対馬海流の温かい海水に多く生息しています。対馬海流は、宗像を過ぎて日本列島の西岸沿いに北上していきます。この温かい海水には植物プランクトンが豊富で、植物プランクトンとともに小魚やエビやカニも対馬海流に沿って移動してきます。あなごは、これらの小さな海洋生物を餌にします。 </w:t>
      </w:r>
    </w:p>
    <w:p w14:paraId="4A10C1F9" w14:textId="77777777" w:rsidR="00CC3638" w:rsidRDefault="00CC3638" w:rsidP="00CC3638">
      <w:pPr>
        <w:spacing w:line="360" w:lineRule="auto"/>
        <w:rPr>
          <w:rFonts w:ascii="Meiryo UI" w:eastAsia="Meiryo UI" w:hAnsi="Meiryo UI" w:cs="Meiryo UI" w:hint="eastAsia"/>
          <w:sz w:val="22"/>
          <w:szCs w:val="22"/>
        </w:rPr>
      </w:pPr>
    </w:p>
    <w:p w14:paraId="7FEE4738" w14:textId="77777777" w:rsidR="00CC3638" w:rsidRDefault="00CC3638" w:rsidP="00CC3638">
      <w:pPr>
        <w:spacing w:line="360" w:lineRule="auto"/>
        <w:rPr>
          <w:rFonts w:ascii="Meiryo UI" w:eastAsia="Meiryo UI" w:hAnsi="Meiryo UI" w:cs="Meiryo UI" w:hint="eastAsia"/>
          <w:sz w:val="22"/>
          <w:szCs w:val="22"/>
        </w:rPr>
      </w:pPr>
      <w:r>
        <w:rPr>
          <w:rFonts w:ascii="Meiryo UI" w:eastAsia="Meiryo UI" w:hAnsi="Meiryo UI" w:cs="Meiryo UI" w:hint="eastAsia"/>
          <w:sz w:val="22"/>
          <w:szCs w:val="22"/>
        </w:rPr>
        <w:t>あなごが餌を食べに来る海底に、一部を埋めた長い筒の罠 (長さ約1.5m) で捕まえます。</w:t>
      </w:r>
      <w:r>
        <w:rPr>
          <w:rFonts w:ascii="Meiryo UI" w:eastAsia="Meiryo UI" w:hAnsi="Meiryo UI" w:cs="Meiryo UI" w:hint="eastAsia"/>
          <w:sz w:val="22"/>
          <w:szCs w:val="22"/>
          <w:highlight w:val="white"/>
        </w:rPr>
        <w:t xml:space="preserve">それぞれの罠は、5～6匹の大きなあなご </w:t>
      </w:r>
      <w:r>
        <w:rPr>
          <w:rFonts w:ascii="Meiryo UI" w:eastAsia="Meiryo UI" w:hAnsi="Meiryo UI" w:cs="Meiryo UI" w:hint="eastAsia"/>
          <w:color w:val="202122"/>
          <w:sz w:val="22"/>
          <w:szCs w:val="22"/>
          <w:highlight w:val="white"/>
        </w:rPr>
        <w:t>(最大体長1m) を捕まえることができます。小さなあなごは穴から逃げられるので、より成長したあなごのみが捕まります。あなごは販売の準備ができるまで、タンクの中で生かしておきます。</w:t>
      </w:r>
    </w:p>
    <w:p w14:paraId="732F2068" w14:textId="77777777" w:rsidR="00CC3638" w:rsidRDefault="00CC3638" w:rsidP="00CC3638">
      <w:pPr>
        <w:spacing w:line="360" w:lineRule="auto"/>
        <w:rPr>
          <w:rFonts w:ascii="Meiryo UI" w:eastAsia="Meiryo UI" w:hAnsi="Meiryo UI" w:cs="Meiryo UI" w:hint="eastAsia"/>
          <w:sz w:val="22"/>
          <w:szCs w:val="22"/>
        </w:rPr>
      </w:pPr>
    </w:p>
    <w:p w14:paraId="71FB39BA" w14:textId="77777777" w:rsidR="00CC3638" w:rsidRDefault="00CC3638" w:rsidP="00CC3638">
      <w:pPr>
        <w:spacing w:line="360" w:lineRule="auto"/>
        <w:rPr>
          <w:rFonts w:ascii="Meiryo UI" w:eastAsia="Meiryo UI" w:hAnsi="Meiryo UI" w:cs="Meiryo UI" w:hint="eastAsia"/>
          <w:sz w:val="22"/>
          <w:szCs w:val="22"/>
        </w:rPr>
      </w:pPr>
      <w:r>
        <w:rPr>
          <w:rFonts w:ascii="Meiryo UI" w:eastAsia="Meiryo UI" w:hAnsi="Meiryo UI" w:cs="Meiryo UI" w:hint="eastAsia"/>
          <w:color w:val="202122"/>
          <w:sz w:val="22"/>
          <w:szCs w:val="22"/>
          <w:highlight w:val="white"/>
        </w:rPr>
        <w:t xml:space="preserve">宗像周辺で獲れる主なあなごの種類は、マアナゴ(学名: </w:t>
      </w:r>
      <w:r>
        <w:rPr>
          <w:rFonts w:ascii="Meiryo UI" w:eastAsia="Meiryo UI" w:hAnsi="Meiryo UI" w:cs="Times New Roman" w:hint="eastAsia"/>
          <w:i/>
          <w:color w:val="202122"/>
          <w:sz w:val="22"/>
          <w:szCs w:val="22"/>
          <w:highlight w:val="white"/>
        </w:rPr>
        <w:t>Conger myriaster</w:t>
      </w:r>
      <w:r>
        <w:rPr>
          <w:rFonts w:ascii="Meiryo UI" w:eastAsia="Meiryo UI" w:hAnsi="Meiryo UI" w:cs="Meiryo UI" w:hint="eastAsia"/>
          <w:color w:val="202122"/>
          <w:sz w:val="22"/>
          <w:szCs w:val="22"/>
          <w:highlight w:val="white"/>
        </w:rPr>
        <w:t xml:space="preserve">) です。マアナゴは、ウナギより小さく、体の両側に白い点線があり、皮膚は茶色でなめらかです。マアナゴは、宗像沖の強い海流に逆らって泳ぐことで、身が引き締まっています。 </w:t>
      </w:r>
    </w:p>
    <w:p w14:paraId="4DE28FD4" w14:textId="77777777" w:rsidR="00CC3638" w:rsidRDefault="00CC3638" w:rsidP="00CC3638">
      <w:pPr>
        <w:spacing w:line="360" w:lineRule="auto"/>
        <w:rPr>
          <w:rFonts w:ascii="Meiryo UI" w:eastAsia="Meiryo UI" w:hAnsi="Meiryo UI" w:cs="Meiryo UI" w:hint="eastAsia"/>
          <w:sz w:val="22"/>
          <w:szCs w:val="22"/>
        </w:rPr>
      </w:pPr>
    </w:p>
    <w:p w14:paraId="07B48A37" w14:textId="77777777" w:rsidR="00CC3638" w:rsidRDefault="00CC3638" w:rsidP="00CC3638">
      <w:pPr>
        <w:spacing w:line="360" w:lineRule="auto"/>
        <w:rPr>
          <w:rFonts w:ascii="Meiryo UI" w:eastAsia="Meiryo UI" w:hAnsi="Meiryo UI" w:cs="Meiryo UI" w:hint="eastAsia"/>
          <w:sz w:val="22"/>
          <w:szCs w:val="22"/>
        </w:rPr>
      </w:pPr>
      <w:r>
        <w:rPr>
          <w:rFonts w:ascii="Meiryo UI" w:eastAsia="Meiryo UI" w:hAnsi="Meiryo UI" w:cs="Meiryo UI" w:hint="eastAsia"/>
          <w:color w:val="202122"/>
          <w:sz w:val="22"/>
          <w:szCs w:val="22"/>
          <w:highlight w:val="white"/>
        </w:rPr>
        <w:t xml:space="preserve">マアナゴの漁期は、5月から11月です。7月下旬から9月末まで、宗像の料理店は、あなごを刺身・天ぷら・焼あなごにして提供しています。あなご味のせんべいは、この地域の様々なお土産屋で購入できます。 </w:t>
      </w:r>
    </w:p>
    <w:p w14:paraId="0DE09B64" w14:textId="77777777" w:rsidR="00EE4629" w:rsidRPr="00CC3638" w:rsidRDefault="00EE4629" w:rsidP="00CC3638"/>
    <w:sectPr w:rsidR="00EE4629" w:rsidRPr="00CC3638">
      <w:footerReference w:type="even" r:id="rId8"/>
      <w:footerReference w:type="default" r:id="rId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40B13" w14:textId="77777777" w:rsidR="007963D2" w:rsidRDefault="007963D2">
      <w:r>
        <w:separator/>
      </w:r>
    </w:p>
  </w:endnote>
  <w:endnote w:type="continuationSeparator" w:id="0">
    <w:p w14:paraId="14E6E579" w14:textId="77777777" w:rsidR="007963D2" w:rsidRDefault="00796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A0067" w14:textId="77777777" w:rsidR="00455845" w:rsidRDefault="00455845">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sdt>
    <w:sdtPr>
      <w:tag w:val="goog_rdk_7"/>
      <w:id w:val="101084904"/>
    </w:sdtPr>
    <w:sdtEndPr/>
    <w:sdtContent>
      <w:p w14:paraId="689E5A6A" w14:textId="77777777" w:rsidR="00455845" w:rsidRDefault="00CC3638" w:rsidP="0065254F">
        <w:pPr>
          <w:pBdr>
            <w:top w:val="nil"/>
            <w:left w:val="nil"/>
            <w:bottom w:val="nil"/>
            <w:right w:val="nil"/>
            <w:between w:val="nil"/>
          </w:pBdr>
          <w:tabs>
            <w:tab w:val="center" w:pos="4513"/>
            <w:tab w:val="right" w:pos="9026"/>
          </w:tabs>
          <w:ind w:right="360"/>
          <w:rPr>
            <w:color w:val="000000"/>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F4198" w14:textId="5E66EC69" w:rsidR="00455845" w:rsidRDefault="00455845">
    <w:pPr>
      <w:pBdr>
        <w:top w:val="nil"/>
        <w:left w:val="nil"/>
        <w:bottom w:val="nil"/>
        <w:right w:val="nil"/>
        <w:between w:val="nil"/>
      </w:pBdr>
      <w:tabs>
        <w:tab w:val="center" w:pos="4513"/>
        <w:tab w:val="right" w:pos="9026"/>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63FA5" w14:textId="77777777" w:rsidR="007963D2" w:rsidRDefault="007963D2">
      <w:r>
        <w:separator/>
      </w:r>
    </w:p>
  </w:footnote>
  <w:footnote w:type="continuationSeparator" w:id="0">
    <w:p w14:paraId="007B29E2" w14:textId="77777777" w:rsidR="007963D2" w:rsidRDefault="007963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863"/>
    <w:rsid w:val="00012BC5"/>
    <w:rsid w:val="00064F68"/>
    <w:rsid w:val="00066D70"/>
    <w:rsid w:val="000907BA"/>
    <w:rsid w:val="000A3FF0"/>
    <w:rsid w:val="000A5322"/>
    <w:rsid w:val="000E7EB5"/>
    <w:rsid w:val="00103079"/>
    <w:rsid w:val="001101D4"/>
    <w:rsid w:val="0011235F"/>
    <w:rsid w:val="00140A18"/>
    <w:rsid w:val="00150401"/>
    <w:rsid w:val="00150B26"/>
    <w:rsid w:val="0015252D"/>
    <w:rsid w:val="00156087"/>
    <w:rsid w:val="00162E22"/>
    <w:rsid w:val="00171AB5"/>
    <w:rsid w:val="00175DE0"/>
    <w:rsid w:val="00180909"/>
    <w:rsid w:val="001854F8"/>
    <w:rsid w:val="00186FA7"/>
    <w:rsid w:val="0019271B"/>
    <w:rsid w:val="00194DAC"/>
    <w:rsid w:val="001B2330"/>
    <w:rsid w:val="001C65AB"/>
    <w:rsid w:val="001D0F23"/>
    <w:rsid w:val="00225FE6"/>
    <w:rsid w:val="0023610F"/>
    <w:rsid w:val="002371B7"/>
    <w:rsid w:val="00262901"/>
    <w:rsid w:val="002677C4"/>
    <w:rsid w:val="00280412"/>
    <w:rsid w:val="00287914"/>
    <w:rsid w:val="002D2861"/>
    <w:rsid w:val="002D6186"/>
    <w:rsid w:val="002D7004"/>
    <w:rsid w:val="002E0DD8"/>
    <w:rsid w:val="00304652"/>
    <w:rsid w:val="0033125E"/>
    <w:rsid w:val="00334147"/>
    <w:rsid w:val="00342627"/>
    <w:rsid w:val="00350A91"/>
    <w:rsid w:val="00363186"/>
    <w:rsid w:val="00382ABC"/>
    <w:rsid w:val="00384B91"/>
    <w:rsid w:val="00386960"/>
    <w:rsid w:val="00393588"/>
    <w:rsid w:val="0039709F"/>
    <w:rsid w:val="003B3158"/>
    <w:rsid w:val="003B7DF3"/>
    <w:rsid w:val="003E2DF7"/>
    <w:rsid w:val="003E4A30"/>
    <w:rsid w:val="003E65E2"/>
    <w:rsid w:val="00400050"/>
    <w:rsid w:val="0040044C"/>
    <w:rsid w:val="00406674"/>
    <w:rsid w:val="004202D8"/>
    <w:rsid w:val="0042642E"/>
    <w:rsid w:val="00455845"/>
    <w:rsid w:val="004835F6"/>
    <w:rsid w:val="00483A80"/>
    <w:rsid w:val="004A094D"/>
    <w:rsid w:val="004A3C48"/>
    <w:rsid w:val="004A785C"/>
    <w:rsid w:val="004E3403"/>
    <w:rsid w:val="00514DA6"/>
    <w:rsid w:val="00521F4E"/>
    <w:rsid w:val="00523EC5"/>
    <w:rsid w:val="00525064"/>
    <w:rsid w:val="00570E2B"/>
    <w:rsid w:val="00574584"/>
    <w:rsid w:val="00592B85"/>
    <w:rsid w:val="005A0C4C"/>
    <w:rsid w:val="005A19FC"/>
    <w:rsid w:val="005A40B6"/>
    <w:rsid w:val="005A722A"/>
    <w:rsid w:val="005B0A6F"/>
    <w:rsid w:val="005B209B"/>
    <w:rsid w:val="005B48F1"/>
    <w:rsid w:val="005C1F63"/>
    <w:rsid w:val="005F21A3"/>
    <w:rsid w:val="005F76D9"/>
    <w:rsid w:val="00601F80"/>
    <w:rsid w:val="006111C2"/>
    <w:rsid w:val="006248B1"/>
    <w:rsid w:val="0065254F"/>
    <w:rsid w:val="00672E35"/>
    <w:rsid w:val="0068347F"/>
    <w:rsid w:val="0069634B"/>
    <w:rsid w:val="006A39C6"/>
    <w:rsid w:val="006A4520"/>
    <w:rsid w:val="006C4770"/>
    <w:rsid w:val="006C6B6B"/>
    <w:rsid w:val="006E7CEA"/>
    <w:rsid w:val="006F1B20"/>
    <w:rsid w:val="00707E5E"/>
    <w:rsid w:val="00720BAD"/>
    <w:rsid w:val="00737A4F"/>
    <w:rsid w:val="007536F9"/>
    <w:rsid w:val="00770940"/>
    <w:rsid w:val="00780863"/>
    <w:rsid w:val="00782FE3"/>
    <w:rsid w:val="00783874"/>
    <w:rsid w:val="00790757"/>
    <w:rsid w:val="007963D2"/>
    <w:rsid w:val="007979B3"/>
    <w:rsid w:val="007A6B12"/>
    <w:rsid w:val="007C14F9"/>
    <w:rsid w:val="007D6BD6"/>
    <w:rsid w:val="007E2DD9"/>
    <w:rsid w:val="00834786"/>
    <w:rsid w:val="00836A82"/>
    <w:rsid w:val="00856D73"/>
    <w:rsid w:val="00882ACD"/>
    <w:rsid w:val="008837CB"/>
    <w:rsid w:val="0088666F"/>
    <w:rsid w:val="00894D97"/>
    <w:rsid w:val="00897244"/>
    <w:rsid w:val="008A336C"/>
    <w:rsid w:val="008A4396"/>
    <w:rsid w:val="008B687B"/>
    <w:rsid w:val="008D4CB6"/>
    <w:rsid w:val="009057DC"/>
    <w:rsid w:val="00906E39"/>
    <w:rsid w:val="00935063"/>
    <w:rsid w:val="0095145F"/>
    <w:rsid w:val="00957473"/>
    <w:rsid w:val="00963972"/>
    <w:rsid w:val="00970766"/>
    <w:rsid w:val="009850FD"/>
    <w:rsid w:val="009A7B97"/>
    <w:rsid w:val="009C14C1"/>
    <w:rsid w:val="009C27D2"/>
    <w:rsid w:val="009D4839"/>
    <w:rsid w:val="009F0975"/>
    <w:rsid w:val="00A26302"/>
    <w:rsid w:val="00A5177E"/>
    <w:rsid w:val="00A671D2"/>
    <w:rsid w:val="00A709C7"/>
    <w:rsid w:val="00A8541C"/>
    <w:rsid w:val="00AA2987"/>
    <w:rsid w:val="00AC01C2"/>
    <w:rsid w:val="00AC1297"/>
    <w:rsid w:val="00AC7A79"/>
    <w:rsid w:val="00AD0C67"/>
    <w:rsid w:val="00AE31F9"/>
    <w:rsid w:val="00AE378A"/>
    <w:rsid w:val="00AF3BC7"/>
    <w:rsid w:val="00B02B04"/>
    <w:rsid w:val="00B10C77"/>
    <w:rsid w:val="00B12507"/>
    <w:rsid w:val="00B138F1"/>
    <w:rsid w:val="00B1674E"/>
    <w:rsid w:val="00B2515D"/>
    <w:rsid w:val="00B53CED"/>
    <w:rsid w:val="00B7285A"/>
    <w:rsid w:val="00B76174"/>
    <w:rsid w:val="00BD1DCD"/>
    <w:rsid w:val="00BE51DA"/>
    <w:rsid w:val="00BF3977"/>
    <w:rsid w:val="00C007DD"/>
    <w:rsid w:val="00C04581"/>
    <w:rsid w:val="00C11E9E"/>
    <w:rsid w:val="00C20579"/>
    <w:rsid w:val="00C23333"/>
    <w:rsid w:val="00C404FB"/>
    <w:rsid w:val="00C4106F"/>
    <w:rsid w:val="00C5386E"/>
    <w:rsid w:val="00C54850"/>
    <w:rsid w:val="00C72396"/>
    <w:rsid w:val="00C866F6"/>
    <w:rsid w:val="00C91612"/>
    <w:rsid w:val="00C94B8A"/>
    <w:rsid w:val="00CA2D6F"/>
    <w:rsid w:val="00CB17FB"/>
    <w:rsid w:val="00CC2B5F"/>
    <w:rsid w:val="00CC3638"/>
    <w:rsid w:val="00CD506A"/>
    <w:rsid w:val="00CE1B59"/>
    <w:rsid w:val="00CF66C4"/>
    <w:rsid w:val="00CF7467"/>
    <w:rsid w:val="00D231DA"/>
    <w:rsid w:val="00D36DB8"/>
    <w:rsid w:val="00D52129"/>
    <w:rsid w:val="00D85B7B"/>
    <w:rsid w:val="00DA496F"/>
    <w:rsid w:val="00DB1316"/>
    <w:rsid w:val="00DB31A0"/>
    <w:rsid w:val="00DE0073"/>
    <w:rsid w:val="00DE39FE"/>
    <w:rsid w:val="00DF3974"/>
    <w:rsid w:val="00E26C92"/>
    <w:rsid w:val="00E41D54"/>
    <w:rsid w:val="00E50590"/>
    <w:rsid w:val="00E8365B"/>
    <w:rsid w:val="00E859BC"/>
    <w:rsid w:val="00EA0842"/>
    <w:rsid w:val="00EA1956"/>
    <w:rsid w:val="00EB0D27"/>
    <w:rsid w:val="00EB4F6C"/>
    <w:rsid w:val="00EC18FA"/>
    <w:rsid w:val="00EC35F4"/>
    <w:rsid w:val="00EC5456"/>
    <w:rsid w:val="00EE0DBC"/>
    <w:rsid w:val="00EE4629"/>
    <w:rsid w:val="00EF1D6F"/>
    <w:rsid w:val="00EF465E"/>
    <w:rsid w:val="00F370D6"/>
    <w:rsid w:val="00F521F6"/>
    <w:rsid w:val="00F83A25"/>
    <w:rsid w:val="00F924D0"/>
    <w:rsid w:val="00FA3516"/>
    <w:rsid w:val="00FC082C"/>
    <w:rsid w:val="00FC7C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58CB540"/>
  <w15:docId w15:val="{757147F6-4443-1147-8081-8D8103686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character" w:styleId="a4">
    <w:name w:val="annotation reference"/>
    <w:basedOn w:val="a0"/>
    <w:uiPriority w:val="99"/>
    <w:semiHidden/>
    <w:unhideWhenUsed/>
    <w:rsid w:val="00FD2C86"/>
    <w:rPr>
      <w:sz w:val="16"/>
      <w:szCs w:val="16"/>
    </w:rPr>
  </w:style>
  <w:style w:type="paragraph" w:styleId="a5">
    <w:name w:val="annotation text"/>
    <w:basedOn w:val="a"/>
    <w:link w:val="a6"/>
    <w:uiPriority w:val="99"/>
    <w:unhideWhenUsed/>
    <w:rsid w:val="00FD2C86"/>
    <w:rPr>
      <w:sz w:val="20"/>
      <w:szCs w:val="20"/>
    </w:rPr>
  </w:style>
  <w:style w:type="character" w:customStyle="1" w:styleId="a6">
    <w:name w:val="コメント文字列 (文字)"/>
    <w:basedOn w:val="a0"/>
    <w:link w:val="a5"/>
    <w:uiPriority w:val="99"/>
    <w:rsid w:val="00FD2C86"/>
    <w:rPr>
      <w:sz w:val="20"/>
      <w:szCs w:val="20"/>
    </w:rPr>
  </w:style>
  <w:style w:type="paragraph" w:styleId="a7">
    <w:name w:val="annotation subject"/>
    <w:basedOn w:val="a5"/>
    <w:next w:val="a5"/>
    <w:link w:val="a8"/>
    <w:uiPriority w:val="99"/>
    <w:semiHidden/>
    <w:unhideWhenUsed/>
    <w:rsid w:val="00FD2C86"/>
    <w:rPr>
      <w:b/>
      <w:bCs/>
    </w:rPr>
  </w:style>
  <w:style w:type="character" w:customStyle="1" w:styleId="a8">
    <w:name w:val="コメント内容 (文字)"/>
    <w:basedOn w:val="a6"/>
    <w:link w:val="a7"/>
    <w:uiPriority w:val="99"/>
    <w:semiHidden/>
    <w:rsid w:val="00FD2C86"/>
    <w:rPr>
      <w:b/>
      <w:bCs/>
      <w:sz w:val="20"/>
      <w:szCs w:val="20"/>
    </w:rPr>
  </w:style>
  <w:style w:type="paragraph" w:styleId="a9">
    <w:name w:val="Balloon Text"/>
    <w:basedOn w:val="a"/>
    <w:link w:val="aa"/>
    <w:uiPriority w:val="99"/>
    <w:semiHidden/>
    <w:unhideWhenUsed/>
    <w:rsid w:val="00FD2C86"/>
    <w:rPr>
      <w:rFonts w:ascii="Times New Roman" w:hAnsi="Times New Roman" w:cs="Times New Roman"/>
      <w:sz w:val="18"/>
      <w:szCs w:val="18"/>
    </w:rPr>
  </w:style>
  <w:style w:type="character" w:customStyle="1" w:styleId="aa">
    <w:name w:val="吹き出し (文字)"/>
    <w:basedOn w:val="a0"/>
    <w:link w:val="a9"/>
    <w:uiPriority w:val="99"/>
    <w:semiHidden/>
    <w:rsid w:val="00FD2C86"/>
    <w:rPr>
      <w:rFonts w:ascii="Times New Roman" w:hAnsi="Times New Roman" w:cs="Times New Roman"/>
      <w:sz w:val="18"/>
      <w:szCs w:val="18"/>
    </w:rPr>
  </w:style>
  <w:style w:type="paragraph" w:styleId="ab">
    <w:name w:val="Revision"/>
    <w:hidden/>
    <w:uiPriority w:val="99"/>
    <w:semiHidden/>
    <w:rsid w:val="0025439A"/>
  </w:style>
  <w:style w:type="paragraph" w:styleId="ac">
    <w:name w:val="header"/>
    <w:basedOn w:val="a"/>
    <w:link w:val="ad"/>
    <w:uiPriority w:val="99"/>
    <w:unhideWhenUsed/>
    <w:rsid w:val="007E781E"/>
    <w:pPr>
      <w:tabs>
        <w:tab w:val="center" w:pos="4513"/>
        <w:tab w:val="right" w:pos="9026"/>
      </w:tabs>
      <w:snapToGrid w:val="0"/>
    </w:pPr>
  </w:style>
  <w:style w:type="character" w:customStyle="1" w:styleId="ad">
    <w:name w:val="ヘッダー (文字)"/>
    <w:basedOn w:val="a0"/>
    <w:link w:val="ac"/>
    <w:uiPriority w:val="99"/>
    <w:rsid w:val="007E781E"/>
  </w:style>
  <w:style w:type="paragraph" w:styleId="ae">
    <w:name w:val="footer"/>
    <w:basedOn w:val="a"/>
    <w:link w:val="af"/>
    <w:uiPriority w:val="99"/>
    <w:unhideWhenUsed/>
    <w:rsid w:val="007E781E"/>
    <w:pPr>
      <w:tabs>
        <w:tab w:val="center" w:pos="4513"/>
        <w:tab w:val="right" w:pos="9026"/>
      </w:tabs>
      <w:snapToGrid w:val="0"/>
    </w:pPr>
  </w:style>
  <w:style w:type="character" w:customStyle="1" w:styleId="af">
    <w:name w:val="フッター (文字)"/>
    <w:basedOn w:val="a0"/>
    <w:link w:val="ae"/>
    <w:uiPriority w:val="99"/>
    <w:rsid w:val="007E781E"/>
  </w:style>
  <w:style w:type="character" w:styleId="af0">
    <w:name w:val="page number"/>
    <w:basedOn w:val="a0"/>
    <w:uiPriority w:val="99"/>
    <w:semiHidden/>
    <w:unhideWhenUsed/>
    <w:rsid w:val="007E781E"/>
  </w:style>
  <w:style w:type="paragraph" w:styleId="af1">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top w:w="15" w:type="dxa"/>
        <w:left w:w="15" w:type="dxa"/>
        <w:bottom w:w="15" w:type="dxa"/>
        <w:right w:w="15" w:type="dxa"/>
      </w:tblCellMar>
    </w:tblPr>
  </w:style>
  <w:style w:type="table" w:customStyle="1" w:styleId="af3">
    <w:basedOn w:val="a1"/>
    <w:tblPr>
      <w:tblStyleRowBandSize w:val="1"/>
      <w:tblStyleColBandSize w:val="1"/>
      <w:tblCellMar>
        <w:top w:w="15" w:type="dxa"/>
        <w:left w:w="15" w:type="dxa"/>
        <w:bottom w:w="15" w:type="dxa"/>
        <w:right w:w="15" w:type="dxa"/>
      </w:tblCellMar>
    </w:tblPr>
  </w:style>
  <w:style w:type="table" w:customStyle="1" w:styleId="af4">
    <w:basedOn w:val="a1"/>
    <w:tblPr>
      <w:tblStyleRowBandSize w:val="1"/>
      <w:tblStyleColBandSize w:val="1"/>
      <w:tblCellMar>
        <w:top w:w="15" w:type="dxa"/>
        <w:left w:w="15" w:type="dxa"/>
        <w:bottom w:w="15" w:type="dxa"/>
        <w:right w:w="15" w:type="dxa"/>
      </w:tblCellMar>
    </w:tblPr>
  </w:style>
  <w:style w:type="table" w:customStyle="1" w:styleId="af5">
    <w:basedOn w:val="a1"/>
    <w:tblPr>
      <w:tblStyleRowBandSize w:val="1"/>
      <w:tblStyleColBandSize w:val="1"/>
      <w:tblCellMar>
        <w:top w:w="15" w:type="dxa"/>
        <w:left w:w="15" w:type="dxa"/>
        <w:bottom w:w="15" w:type="dxa"/>
        <w:right w:w="15" w:type="dxa"/>
      </w:tblCellMar>
    </w:tblPr>
  </w:style>
  <w:style w:type="table" w:customStyle="1" w:styleId="af6">
    <w:basedOn w:val="a1"/>
    <w:tblPr>
      <w:tblStyleRowBandSize w:val="1"/>
      <w:tblStyleColBandSize w:val="1"/>
      <w:tblCellMar>
        <w:top w:w="15" w:type="dxa"/>
        <w:left w:w="15" w:type="dxa"/>
        <w:bottom w:w="15" w:type="dxa"/>
        <w:right w:w="15" w:type="dxa"/>
      </w:tblCellMar>
    </w:tblPr>
  </w:style>
  <w:style w:type="table" w:customStyle="1" w:styleId="af7">
    <w:basedOn w:val="a1"/>
    <w:tblPr>
      <w:tblStyleRowBandSize w:val="1"/>
      <w:tblStyleColBandSize w:val="1"/>
      <w:tblCellMar>
        <w:top w:w="15" w:type="dxa"/>
        <w:left w:w="15" w:type="dxa"/>
        <w:bottom w:w="15" w:type="dxa"/>
        <w:right w:w="15" w:type="dxa"/>
      </w:tblCellMar>
    </w:tblPr>
  </w:style>
  <w:style w:type="table" w:customStyle="1" w:styleId="af8">
    <w:basedOn w:val="a1"/>
    <w:tblPr>
      <w:tblStyleRowBandSize w:val="1"/>
      <w:tblStyleColBandSize w:val="1"/>
      <w:tblCellMar>
        <w:top w:w="15" w:type="dxa"/>
        <w:left w:w="15" w:type="dxa"/>
        <w:bottom w:w="15" w:type="dxa"/>
        <w:right w:w="15" w:type="dxa"/>
      </w:tblCellMar>
    </w:tblPr>
  </w:style>
  <w:style w:type="table" w:customStyle="1" w:styleId="af9">
    <w:basedOn w:val="a1"/>
    <w:tblPr>
      <w:tblStyleRowBandSize w:val="1"/>
      <w:tblStyleColBandSize w:val="1"/>
      <w:tblCellMar>
        <w:top w:w="15" w:type="dxa"/>
        <w:left w:w="15" w:type="dxa"/>
        <w:bottom w:w="15" w:type="dxa"/>
        <w:right w:w="15" w:type="dxa"/>
      </w:tblCellMar>
    </w:tblPr>
  </w:style>
  <w:style w:type="table" w:customStyle="1" w:styleId="afa">
    <w:basedOn w:val="a1"/>
    <w:tblPr>
      <w:tblStyleRowBandSize w:val="1"/>
      <w:tblStyleColBandSize w:val="1"/>
      <w:tblCellMar>
        <w:top w:w="15" w:type="dxa"/>
        <w:left w:w="15" w:type="dxa"/>
        <w:bottom w:w="15" w:type="dxa"/>
        <w:right w:w="15" w:type="dxa"/>
      </w:tblCellMar>
    </w:tblPr>
  </w:style>
  <w:style w:type="table" w:customStyle="1" w:styleId="afb">
    <w:basedOn w:val="a1"/>
    <w:tblPr>
      <w:tblStyleRowBandSize w:val="1"/>
      <w:tblStyleColBandSize w:val="1"/>
      <w:tblCellMar>
        <w:top w:w="15" w:type="dxa"/>
        <w:left w:w="15" w:type="dxa"/>
        <w:bottom w:w="15" w:type="dxa"/>
        <w:right w:w="15" w:type="dxa"/>
      </w:tblCellMar>
    </w:tblPr>
  </w:style>
  <w:style w:type="table" w:customStyle="1" w:styleId="afc">
    <w:basedOn w:val="a1"/>
    <w:tblPr>
      <w:tblStyleRowBandSize w:val="1"/>
      <w:tblStyleColBandSize w:val="1"/>
      <w:tblCellMar>
        <w:top w:w="15" w:type="dxa"/>
        <w:left w:w="15" w:type="dxa"/>
        <w:bottom w:w="15" w:type="dxa"/>
        <w:right w:w="15" w:type="dxa"/>
      </w:tblCellMar>
    </w:tblPr>
  </w:style>
  <w:style w:type="table" w:customStyle="1" w:styleId="afd">
    <w:basedOn w:val="a1"/>
    <w:tblPr>
      <w:tblStyleRowBandSize w:val="1"/>
      <w:tblStyleColBandSize w:val="1"/>
      <w:tblCellMar>
        <w:top w:w="15" w:type="dxa"/>
        <w:left w:w="15" w:type="dxa"/>
        <w:bottom w:w="15" w:type="dxa"/>
        <w:right w:w="15" w:type="dxa"/>
      </w:tblCellMar>
    </w:tblPr>
  </w:style>
  <w:style w:type="table" w:customStyle="1" w:styleId="afe">
    <w:basedOn w:val="a1"/>
    <w:tblPr>
      <w:tblStyleRowBandSize w:val="1"/>
      <w:tblStyleColBandSize w:val="1"/>
      <w:tblCellMar>
        <w:top w:w="15" w:type="dxa"/>
        <w:left w:w="15" w:type="dxa"/>
        <w:bottom w:w="15" w:type="dxa"/>
        <w:right w:w="15" w:type="dxa"/>
      </w:tblCellMar>
    </w:tblPr>
  </w:style>
  <w:style w:type="table" w:customStyle="1" w:styleId="aff">
    <w:basedOn w:val="a1"/>
    <w:tblPr>
      <w:tblStyleRowBandSize w:val="1"/>
      <w:tblStyleColBandSize w:val="1"/>
      <w:tblCellMar>
        <w:top w:w="15" w:type="dxa"/>
        <w:left w:w="15" w:type="dxa"/>
        <w:bottom w:w="15" w:type="dxa"/>
        <w:right w:w="15" w:type="dxa"/>
      </w:tblCellMar>
    </w:tblPr>
  </w:style>
  <w:style w:type="table" w:customStyle="1" w:styleId="aff0">
    <w:basedOn w:val="a1"/>
    <w:tblPr>
      <w:tblStyleRowBandSize w:val="1"/>
      <w:tblStyleColBandSize w:val="1"/>
      <w:tblCellMar>
        <w:top w:w="15" w:type="dxa"/>
        <w:left w:w="15" w:type="dxa"/>
        <w:bottom w:w="15" w:type="dxa"/>
        <w:right w:w="15" w:type="dxa"/>
      </w:tblCellMar>
    </w:tblPr>
  </w:style>
  <w:style w:type="table" w:customStyle="1" w:styleId="aff1">
    <w:basedOn w:val="a1"/>
    <w:tblPr>
      <w:tblStyleRowBandSize w:val="1"/>
      <w:tblStyleColBandSize w:val="1"/>
      <w:tblCellMar>
        <w:top w:w="15" w:type="dxa"/>
        <w:left w:w="15" w:type="dxa"/>
        <w:bottom w:w="15" w:type="dxa"/>
        <w:right w:w="15" w:type="dxa"/>
      </w:tblCellMar>
    </w:tblPr>
  </w:style>
  <w:style w:type="table" w:customStyle="1" w:styleId="aff2">
    <w:basedOn w:val="a1"/>
    <w:tblPr>
      <w:tblStyleRowBandSize w:val="1"/>
      <w:tblStyleColBandSize w:val="1"/>
      <w:tblCellMar>
        <w:top w:w="15" w:type="dxa"/>
        <w:left w:w="15" w:type="dxa"/>
        <w:bottom w:w="15" w:type="dxa"/>
        <w:right w:w="15" w:type="dxa"/>
      </w:tblCellMar>
    </w:tblPr>
  </w:style>
  <w:style w:type="table" w:customStyle="1" w:styleId="aff3">
    <w:basedOn w:val="a1"/>
    <w:tblPr>
      <w:tblStyleRowBandSize w:val="1"/>
      <w:tblStyleColBandSize w:val="1"/>
      <w:tblCellMar>
        <w:top w:w="15" w:type="dxa"/>
        <w:left w:w="15" w:type="dxa"/>
        <w:bottom w:w="15" w:type="dxa"/>
        <w:right w:w="15" w:type="dxa"/>
      </w:tblCellMar>
    </w:tblPr>
  </w:style>
  <w:style w:type="table" w:customStyle="1" w:styleId="aff4">
    <w:basedOn w:val="a1"/>
    <w:tblPr>
      <w:tblStyleRowBandSize w:val="1"/>
      <w:tblStyleColBandSize w:val="1"/>
      <w:tblCellMar>
        <w:top w:w="15" w:type="dxa"/>
        <w:left w:w="15" w:type="dxa"/>
        <w:bottom w:w="15" w:type="dxa"/>
        <w:right w:w="15" w:type="dxa"/>
      </w:tblCellMar>
    </w:tblPr>
  </w:style>
  <w:style w:type="table" w:customStyle="1" w:styleId="aff5">
    <w:basedOn w:val="a1"/>
    <w:tblPr>
      <w:tblStyleRowBandSize w:val="1"/>
      <w:tblStyleColBandSize w:val="1"/>
      <w:tblCellMar>
        <w:top w:w="15" w:type="dxa"/>
        <w:left w:w="15" w:type="dxa"/>
        <w:bottom w:w="15" w:type="dxa"/>
        <w:right w:w="15" w:type="dxa"/>
      </w:tblCellMar>
    </w:tblPr>
  </w:style>
  <w:style w:type="table" w:customStyle="1" w:styleId="aff6">
    <w:basedOn w:val="a1"/>
    <w:tblPr>
      <w:tblStyleRowBandSize w:val="1"/>
      <w:tblStyleColBandSize w:val="1"/>
      <w:tblCellMar>
        <w:top w:w="15" w:type="dxa"/>
        <w:left w:w="15" w:type="dxa"/>
        <w:bottom w:w="15" w:type="dxa"/>
        <w:right w:w="15" w:type="dxa"/>
      </w:tblCellMar>
    </w:tblPr>
  </w:style>
  <w:style w:type="table" w:customStyle="1" w:styleId="aff7">
    <w:basedOn w:val="a1"/>
    <w:tblPr>
      <w:tblStyleRowBandSize w:val="1"/>
      <w:tblStyleColBandSize w:val="1"/>
      <w:tblCellMar>
        <w:top w:w="15" w:type="dxa"/>
        <w:left w:w="15" w:type="dxa"/>
        <w:bottom w:w="15" w:type="dxa"/>
        <w:right w:w="15" w:type="dxa"/>
      </w:tblCellMar>
    </w:tblPr>
  </w:style>
  <w:style w:type="table" w:customStyle="1" w:styleId="aff8">
    <w:basedOn w:val="a1"/>
    <w:tblPr>
      <w:tblStyleRowBandSize w:val="1"/>
      <w:tblStyleColBandSize w:val="1"/>
      <w:tblCellMar>
        <w:top w:w="15" w:type="dxa"/>
        <w:left w:w="15" w:type="dxa"/>
        <w:bottom w:w="15" w:type="dxa"/>
        <w:right w:w="15" w:type="dxa"/>
      </w:tblCellMar>
    </w:tblPr>
  </w:style>
  <w:style w:type="table" w:customStyle="1" w:styleId="aff9">
    <w:basedOn w:val="a1"/>
    <w:tblPr>
      <w:tblStyleRowBandSize w:val="1"/>
      <w:tblStyleColBandSize w:val="1"/>
      <w:tblCellMar>
        <w:top w:w="15" w:type="dxa"/>
        <w:left w:w="15" w:type="dxa"/>
        <w:bottom w:w="15" w:type="dxa"/>
        <w:right w:w="15" w:type="dxa"/>
      </w:tblCellMar>
    </w:tblPr>
  </w:style>
  <w:style w:type="table" w:customStyle="1" w:styleId="affa">
    <w:basedOn w:val="a1"/>
    <w:tblPr>
      <w:tblStyleRowBandSize w:val="1"/>
      <w:tblStyleColBandSize w:val="1"/>
      <w:tblCellMar>
        <w:top w:w="15" w:type="dxa"/>
        <w:left w:w="15" w:type="dxa"/>
        <w:bottom w:w="15" w:type="dxa"/>
        <w:right w:w="15" w:type="dxa"/>
      </w:tblCellMar>
    </w:tblPr>
  </w:style>
  <w:style w:type="table" w:customStyle="1" w:styleId="affb">
    <w:basedOn w:val="a1"/>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67419">
      <w:bodyDiv w:val="1"/>
      <w:marLeft w:val="0"/>
      <w:marRight w:val="0"/>
      <w:marTop w:val="0"/>
      <w:marBottom w:val="0"/>
      <w:divBdr>
        <w:top w:val="none" w:sz="0" w:space="0" w:color="auto"/>
        <w:left w:val="none" w:sz="0" w:space="0" w:color="auto"/>
        <w:bottom w:val="none" w:sz="0" w:space="0" w:color="auto"/>
        <w:right w:val="none" w:sz="0" w:space="0" w:color="auto"/>
      </w:divBdr>
    </w:div>
    <w:div w:id="7376342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kmLM5onyfcnheRp7FJk6fSsRejQ==">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</go:docsCustomData>
</go:gDocsCustomXmlDataStorage>
</file>

<file path=customXml/itemProps1.xml><?xml version="1.0" encoding="utf-8"?>
<ds:datastoreItem xmlns:ds="http://schemas.openxmlformats.org/officeDocument/2006/customXml" ds:itemID="{531C9A17-7148-4461-B523-9E9D13BFAF6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89</Words>
  <Characters>511</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Kirsty Munro</dc:creator>
  <cp:lastModifiedBy>Sayaka Yabe</cp:lastModifiedBy>
  <cp:revision>2</cp:revision>
  <dcterms:created xsi:type="dcterms:W3CDTF">2022-11-08T08:40:00Z</dcterms:created>
  <dcterms:modified xsi:type="dcterms:W3CDTF">2022-11-08T08:40:00Z</dcterms:modified>
</cp:coreProperties>
</file>