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E4154" w14:textId="77777777" w:rsidR="00730B7A" w:rsidRDefault="00730B7A" w:rsidP="00730B7A">
      <w:pPr>
        <w:widowControl w:val="0"/>
        <w:jc w:val="both"/>
        <w:rPr>
          <w:rFonts w:ascii="Meiryo UI" w:eastAsia="Meiryo UI" w:hAnsi="Meiryo UI" w:cs="Century"/>
          <w:b/>
          <w:sz w:val="22"/>
          <w:szCs w:val="22"/>
          <w:lang w:eastAsia="ja-JP"/>
        </w:rPr>
      </w:pPr>
      <w:r>
        <w:rPr>
          <w:rFonts w:ascii="Meiryo UI" w:eastAsia="Meiryo UI" w:hAnsi="Meiryo UI" w:cs="Century" w:hint="eastAsia"/>
          <w:b/>
          <w:sz w:val="22"/>
          <w:szCs w:val="22"/>
          <w:lang w:eastAsia="ja-JP"/>
        </w:rPr>
        <w:t>長岡戦災資料館</w:t>
      </w:r>
    </w:p>
    <w:p w14:paraId="744D2F38" w14:textId="77777777" w:rsidR="00730B7A" w:rsidRDefault="00730B7A" w:rsidP="00730B7A">
      <w:pPr>
        <w:widowControl w:val="0"/>
        <w:rPr>
          <w:rFonts w:ascii="Meiryo UI" w:eastAsia="Meiryo UI" w:hAnsi="Meiryo UI" w:cs="Century" w:hint="eastAsia"/>
          <w:lang w:eastAsia="ja-JP"/>
        </w:rPr>
      </w:pPr>
      <w:r>
        <w:rPr>
          <w:rFonts w:ascii="Meiryo UI" w:eastAsia="Meiryo UI" w:hAnsi="Meiryo UI" w:cs="Century" w:hint="eastAsia"/>
          <w:lang w:eastAsia="ja-JP"/>
        </w:rPr>
        <w:t xml:space="preserve"> </w:t>
      </w:r>
    </w:p>
    <w:p w14:paraId="50197346" w14:textId="77777777" w:rsidR="00730B7A" w:rsidRDefault="00730B7A" w:rsidP="00730B7A">
      <w:pPr>
        <w:widowControl w:val="0"/>
        <w:jc w:val="both"/>
        <w:rPr>
          <w:rFonts w:ascii="Meiryo UI" w:eastAsia="Meiryo UI" w:hAnsi="Meiryo UI" w:cs="Century" w:hint="eastAsia"/>
          <w:b/>
          <w:sz w:val="22"/>
          <w:szCs w:val="22"/>
          <w:lang w:eastAsia="ja-JP"/>
        </w:rPr>
      </w:pPr>
      <w:r>
        <w:rPr>
          <w:rFonts w:ascii="Meiryo UI" w:eastAsia="Meiryo UI" w:hAnsi="Meiryo UI" w:cs="Century" w:hint="eastAsia"/>
          <w:b/>
          <w:sz w:val="22"/>
          <w:szCs w:val="22"/>
          <w:lang w:eastAsia="ja-JP"/>
        </w:rPr>
        <w:t>当時の典型的な居間</w:t>
      </w:r>
    </w:p>
    <w:p w14:paraId="7B682F0D"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戦災当時の日本の家は、木造建築でした。また、畳や、窓に貼る障子などの可燃性のものもありました。夜になると、窓に暗幕をかけ、外に明かりが漏れないようにしていました。ラジオは当時の大事な情報源でしたが、すべての家にあるわけではなく、重要なお知らせを聞くために近所の人たちはよく集まっていました。</w:t>
      </w:r>
    </w:p>
    <w:p w14:paraId="66E1F1C4" w14:textId="77777777" w:rsidR="00730B7A" w:rsidRDefault="00730B7A" w:rsidP="00730B7A">
      <w:pPr>
        <w:widowControl w:val="0"/>
        <w:rPr>
          <w:rFonts w:ascii="Meiryo UI" w:eastAsia="Meiryo UI" w:hAnsi="Meiryo UI" w:cs="Century" w:hint="eastAsia"/>
          <w:lang w:eastAsia="ja-JP"/>
        </w:rPr>
      </w:pPr>
      <w:r>
        <w:rPr>
          <w:rFonts w:ascii="Meiryo UI" w:eastAsia="Meiryo UI" w:hAnsi="Meiryo UI" w:cs="Century" w:hint="eastAsia"/>
          <w:lang w:eastAsia="ja-JP"/>
        </w:rPr>
        <w:t xml:space="preserve"> </w:t>
      </w:r>
    </w:p>
    <w:p w14:paraId="0504E9B6" w14:textId="77777777" w:rsidR="00730B7A" w:rsidRDefault="00730B7A" w:rsidP="00730B7A">
      <w:pPr>
        <w:widowControl w:val="0"/>
        <w:jc w:val="both"/>
        <w:rPr>
          <w:rFonts w:ascii="Meiryo UI" w:eastAsia="Meiryo UI" w:hAnsi="Meiryo UI" w:cs="Century" w:hint="eastAsia"/>
          <w:b/>
          <w:sz w:val="22"/>
          <w:szCs w:val="22"/>
          <w:lang w:eastAsia="ja-JP"/>
        </w:rPr>
      </w:pPr>
      <w:r>
        <w:rPr>
          <w:rFonts w:ascii="Meiryo UI" w:eastAsia="Meiryo UI" w:hAnsi="Meiryo UI" w:cs="Century" w:hint="eastAsia"/>
          <w:b/>
          <w:sz w:val="22"/>
          <w:szCs w:val="22"/>
          <w:lang w:eastAsia="ja-JP"/>
        </w:rPr>
        <w:t xml:space="preserve">ハワイ真珠湾攻撃 </w:t>
      </w:r>
    </w:p>
    <w:p w14:paraId="2886A81C"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1941年12月7日（日）、日本軍はアメリカ太平洋艦隊主力戦艦群を攻撃しました。攻撃はハワイ現地時間の午前中に行われ、船は真珠湾のフォード島に駐留していました。</w:t>
      </w:r>
    </w:p>
    <w:p w14:paraId="50EC0E77"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写真は、魚雷がUSSオクラホマに命中した際に水煙を上げている様子です。</w:t>
      </w:r>
    </w:p>
    <w:p w14:paraId="0AF3D256" w14:textId="77777777" w:rsidR="00730B7A" w:rsidRDefault="00730B7A" w:rsidP="00730B7A">
      <w:pPr>
        <w:widowControl w:val="0"/>
        <w:rPr>
          <w:rFonts w:ascii="Meiryo UI" w:eastAsia="Meiryo UI" w:hAnsi="Meiryo UI" w:cs="Century" w:hint="eastAsia"/>
          <w:lang w:eastAsia="ja-JP"/>
        </w:rPr>
      </w:pPr>
      <w:r>
        <w:rPr>
          <w:rFonts w:ascii="Meiryo UI" w:eastAsia="Meiryo UI" w:hAnsi="Meiryo UI" w:cs="Century" w:hint="eastAsia"/>
          <w:lang w:eastAsia="ja-JP"/>
        </w:rPr>
        <w:t xml:space="preserve"> </w:t>
      </w:r>
    </w:p>
    <w:p w14:paraId="46D8DE52"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b/>
          <w:sz w:val="22"/>
          <w:szCs w:val="22"/>
          <w:lang w:eastAsia="ja-JP"/>
        </w:rPr>
        <w:t>アリゾナ記念館</w:t>
      </w:r>
      <w:r>
        <w:rPr>
          <w:rFonts w:ascii="Meiryo UI" w:eastAsia="Meiryo UI" w:hAnsi="Meiryo UI" w:cs="Century" w:hint="eastAsia"/>
          <w:sz w:val="22"/>
          <w:szCs w:val="22"/>
          <w:lang w:eastAsia="ja-JP"/>
        </w:rPr>
        <w:t xml:space="preserve"> </w:t>
      </w:r>
    </w:p>
    <w:p w14:paraId="08D5C8A8"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color w:val="222222"/>
          <w:sz w:val="22"/>
          <w:szCs w:val="22"/>
          <w:highlight w:val="white"/>
          <w:lang w:eastAsia="ja-JP"/>
        </w:rPr>
        <w:t>沈没したUSSアリゾナは、1941年12月の真珠湾攻撃で命を落とした1,177人の乗組員のうち1,102人の最後の休憩所として機能します。</w:t>
      </w:r>
      <w:r>
        <w:rPr>
          <w:rFonts w:ascii="Meiryo UI" w:eastAsia="Meiryo UI" w:hAnsi="Meiryo UI" w:cs="Century" w:hint="eastAsia"/>
          <w:sz w:val="22"/>
          <w:szCs w:val="22"/>
          <w:lang w:eastAsia="ja-JP"/>
        </w:rPr>
        <w:t>この記念館は、公金と一般募金により、船の水没した船体の上に建てられました。1958年に計画が始まり、1961年に完成し、翌年に正式オープンしました。</w:t>
      </w:r>
    </w:p>
    <w:p w14:paraId="0C7F98D8" w14:textId="77777777" w:rsidR="00730B7A" w:rsidRDefault="00730B7A" w:rsidP="00730B7A">
      <w:pPr>
        <w:widowControl w:val="0"/>
        <w:rPr>
          <w:rFonts w:ascii="Meiryo UI" w:eastAsia="Meiryo UI" w:hAnsi="Meiryo UI" w:cs="Century" w:hint="eastAsia"/>
          <w:lang w:eastAsia="ja-JP"/>
        </w:rPr>
      </w:pPr>
      <w:r>
        <w:rPr>
          <w:rFonts w:ascii="Meiryo UI" w:eastAsia="Meiryo UI" w:hAnsi="Meiryo UI" w:cs="Century" w:hint="eastAsia"/>
          <w:lang w:eastAsia="ja-JP"/>
        </w:rPr>
        <w:t xml:space="preserve"> </w:t>
      </w:r>
    </w:p>
    <w:p w14:paraId="161758B5"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b/>
          <w:sz w:val="22"/>
          <w:szCs w:val="22"/>
          <w:lang w:eastAsia="ja-JP"/>
        </w:rPr>
        <w:t>金属回収の強化</w:t>
      </w:r>
      <w:r>
        <w:rPr>
          <w:rFonts w:ascii="Meiryo UI" w:eastAsia="Meiryo UI" w:hAnsi="Meiryo UI" w:cs="Century" w:hint="eastAsia"/>
          <w:sz w:val="22"/>
          <w:szCs w:val="22"/>
          <w:lang w:eastAsia="ja-JP"/>
        </w:rPr>
        <w:t xml:space="preserve"> </w:t>
      </w:r>
    </w:p>
    <w:p w14:paraId="18B2E11D"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金属回収令により、政府は戦争のための軍需品の製造を助けるために、国に金属の寄付を要請しました。国家総動員法に基づく命令は、1941年8月に施行されました。戦争がエスカレートするにつれ、寄付が義務化されました。やかん・鍋・釜・お寺の鐘・銅鑼・仏像・その他の金属類がスクラップとして再利用されました。</w:t>
      </w:r>
    </w:p>
    <w:p w14:paraId="2172C258" w14:textId="77777777" w:rsidR="00730B7A" w:rsidRDefault="00730B7A" w:rsidP="00730B7A">
      <w:pPr>
        <w:widowControl w:val="0"/>
        <w:rPr>
          <w:rFonts w:ascii="Meiryo UI" w:eastAsia="Meiryo UI" w:hAnsi="Meiryo UI" w:cs="Century" w:hint="eastAsia"/>
          <w:lang w:eastAsia="ja-JP"/>
        </w:rPr>
      </w:pPr>
      <w:r>
        <w:rPr>
          <w:rFonts w:ascii="Meiryo UI" w:eastAsia="Meiryo UI" w:hAnsi="Meiryo UI" w:cs="Century" w:hint="eastAsia"/>
          <w:lang w:eastAsia="ja-JP"/>
        </w:rPr>
        <w:t xml:space="preserve"> </w:t>
      </w:r>
    </w:p>
    <w:p w14:paraId="4A967545" w14:textId="77777777" w:rsidR="00730B7A" w:rsidRDefault="00730B7A" w:rsidP="00730B7A">
      <w:pPr>
        <w:widowControl w:val="0"/>
        <w:jc w:val="both"/>
        <w:rPr>
          <w:rFonts w:ascii="Meiryo UI" w:eastAsia="Meiryo UI" w:hAnsi="Meiryo UI" w:cs="Century" w:hint="eastAsia"/>
          <w:b/>
          <w:sz w:val="22"/>
          <w:szCs w:val="22"/>
          <w:lang w:eastAsia="ja-JP"/>
        </w:rPr>
      </w:pPr>
      <w:r>
        <w:rPr>
          <w:rFonts w:ascii="Meiryo UI" w:eastAsia="Meiryo UI" w:hAnsi="Meiryo UI" w:cs="Century" w:hint="eastAsia"/>
          <w:b/>
          <w:sz w:val="22"/>
          <w:szCs w:val="22"/>
          <w:lang w:eastAsia="ja-JP"/>
        </w:rPr>
        <w:t>山本五十六の死</w:t>
      </w:r>
    </w:p>
    <w:p w14:paraId="091DC6F7"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連合艦隊司令長官の山本五十六は、1943年4月18日朝、パプアニューギニア近郊のブーゲンビル島上空で彼を乗せた輸送機が撃墜され死亡しました。米軍戦闘機からの砲撃を受けていました。</w:t>
      </w:r>
    </w:p>
    <w:p w14:paraId="56669E9D" w14:textId="77777777" w:rsidR="00730B7A" w:rsidRDefault="00730B7A" w:rsidP="00730B7A">
      <w:pPr>
        <w:widowControl w:val="0"/>
        <w:rPr>
          <w:rFonts w:ascii="Meiryo UI" w:eastAsia="Meiryo UI" w:hAnsi="Meiryo UI" w:cs="Century" w:hint="eastAsia"/>
          <w:lang w:eastAsia="ja-JP"/>
        </w:rPr>
      </w:pPr>
      <w:r>
        <w:rPr>
          <w:rFonts w:ascii="Meiryo UI" w:eastAsia="Meiryo UI" w:hAnsi="Meiryo UI" w:cs="Century" w:hint="eastAsia"/>
          <w:lang w:eastAsia="ja-JP"/>
        </w:rPr>
        <w:t xml:space="preserve"> </w:t>
      </w:r>
    </w:p>
    <w:p w14:paraId="39DFBF4F" w14:textId="77777777" w:rsidR="00730B7A" w:rsidRDefault="00730B7A" w:rsidP="00730B7A">
      <w:pPr>
        <w:widowControl w:val="0"/>
        <w:jc w:val="both"/>
        <w:rPr>
          <w:rFonts w:ascii="Meiryo UI" w:eastAsia="Meiryo UI" w:hAnsi="Meiryo UI" w:cs="Century" w:hint="eastAsia"/>
          <w:b/>
          <w:sz w:val="22"/>
          <w:szCs w:val="22"/>
          <w:lang w:eastAsia="ja-JP"/>
        </w:rPr>
      </w:pPr>
      <w:r>
        <w:rPr>
          <w:rFonts w:ascii="Meiryo UI" w:eastAsia="Meiryo UI" w:hAnsi="Meiryo UI" w:cs="Century" w:hint="eastAsia"/>
          <w:b/>
          <w:sz w:val="22"/>
          <w:szCs w:val="22"/>
          <w:lang w:eastAsia="ja-JP"/>
        </w:rPr>
        <w:t xml:space="preserve">学徒勤労動員の通年動員体制 </w:t>
      </w:r>
    </w:p>
    <w:p w14:paraId="57BAFE1C"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戦争が激化するにつれ、より多くの成人男性が前線に出動するようになりました。その結果、地方では軍需工場の人手不足が深刻化になりました。この問題を緩和するために、政府は「動員のための緊急募集要項」を発表した。これにより、中学3年生は軍需工場だけでなく、名古屋の飛行機工場でも働くことができるようになりました。合計で約310万人の学生が全国で動員されました。</w:t>
      </w:r>
    </w:p>
    <w:p w14:paraId="3BB34BCB" w14:textId="77777777" w:rsidR="00730B7A" w:rsidRDefault="00730B7A" w:rsidP="00730B7A">
      <w:pPr>
        <w:widowControl w:val="0"/>
        <w:rPr>
          <w:rFonts w:ascii="Meiryo UI" w:eastAsia="Meiryo UI" w:hAnsi="Meiryo UI" w:cs="Century" w:hint="eastAsia"/>
          <w:lang w:eastAsia="ja-JP"/>
        </w:rPr>
      </w:pPr>
      <w:r>
        <w:rPr>
          <w:rFonts w:ascii="Meiryo UI" w:eastAsia="Meiryo UI" w:hAnsi="Meiryo UI" w:cs="Century" w:hint="eastAsia"/>
          <w:lang w:eastAsia="ja-JP"/>
        </w:rPr>
        <w:t xml:space="preserve"> </w:t>
      </w:r>
    </w:p>
    <w:p w14:paraId="686F797E" w14:textId="77777777" w:rsidR="00730B7A" w:rsidRDefault="00730B7A" w:rsidP="00730B7A">
      <w:pPr>
        <w:widowControl w:val="0"/>
        <w:jc w:val="both"/>
        <w:rPr>
          <w:rFonts w:ascii="Meiryo UI" w:eastAsia="Meiryo UI" w:hAnsi="Meiryo UI" w:cs="Century" w:hint="eastAsia"/>
          <w:b/>
          <w:sz w:val="22"/>
          <w:szCs w:val="22"/>
          <w:lang w:eastAsia="ja-JP"/>
        </w:rPr>
      </w:pPr>
      <w:r>
        <w:rPr>
          <w:rFonts w:ascii="Meiryo UI" w:eastAsia="Meiryo UI" w:hAnsi="Meiryo UI" w:cs="Century" w:hint="eastAsia"/>
          <w:b/>
          <w:sz w:val="22"/>
          <w:szCs w:val="22"/>
          <w:lang w:eastAsia="ja-JP"/>
        </w:rPr>
        <w:t>防空訓練</w:t>
      </w:r>
    </w:p>
    <w:p w14:paraId="1794D34F"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地元町内会では、月に数回、防空訓練を実施していました。参加者は防空頭巾をかぶり、消火の手順に従う事が求められました。訓練は必須でした。夫が戦闘に従事していた女性は参加する義務はなかったが、参加しなかった場合、非国民ときせられます。</w:t>
      </w:r>
    </w:p>
    <w:p w14:paraId="437B2CD4" w14:textId="77777777" w:rsidR="00730B7A" w:rsidRDefault="00730B7A" w:rsidP="00730B7A">
      <w:pPr>
        <w:widowControl w:val="0"/>
        <w:rPr>
          <w:rFonts w:ascii="Meiryo UI" w:eastAsia="Meiryo UI" w:hAnsi="Meiryo UI" w:cs="Century" w:hint="eastAsia"/>
          <w:lang w:eastAsia="ja-JP"/>
        </w:rPr>
      </w:pPr>
      <w:r>
        <w:rPr>
          <w:rFonts w:ascii="Meiryo UI" w:eastAsia="Meiryo UI" w:hAnsi="Meiryo UI" w:cs="Century" w:hint="eastAsia"/>
          <w:lang w:eastAsia="ja-JP"/>
        </w:rPr>
        <w:t xml:space="preserve"> </w:t>
      </w:r>
    </w:p>
    <w:p w14:paraId="6773A485"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b/>
          <w:sz w:val="22"/>
          <w:szCs w:val="22"/>
          <w:lang w:eastAsia="ja-JP"/>
        </w:rPr>
        <w:t>アメリカ軍の長岡空襲作戦計画図</w:t>
      </w:r>
      <w:r>
        <w:rPr>
          <w:rFonts w:ascii="Meiryo UI" w:eastAsia="Meiryo UI" w:hAnsi="Meiryo UI" w:cs="Century" w:hint="eastAsia"/>
          <w:sz w:val="22"/>
          <w:szCs w:val="22"/>
          <w:lang w:eastAsia="ja-JP"/>
        </w:rPr>
        <w:t xml:space="preserve"> </w:t>
      </w:r>
    </w:p>
    <w:p w14:paraId="5A7B648C"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アメリカ軍の航空写真を数枚集成された石版集成図（リトグラフ）です。写真は1945年6月23日、長岡大空襲の1ヶ月程前に撮影されたものです。直径1.2キロに及ぶ円は、爆撃目標の範囲を表しています。明治公園が爆撃中心地となっています。</w:t>
      </w:r>
    </w:p>
    <w:p w14:paraId="4ACD2DB8" w14:textId="77777777" w:rsidR="00730B7A" w:rsidRDefault="00730B7A" w:rsidP="00730B7A">
      <w:pPr>
        <w:widowControl w:val="0"/>
        <w:rPr>
          <w:rFonts w:ascii="Meiryo UI" w:eastAsia="Meiryo UI" w:hAnsi="Meiryo UI" w:cs="Century" w:hint="eastAsia"/>
          <w:lang w:eastAsia="ja-JP"/>
        </w:rPr>
      </w:pPr>
      <w:r>
        <w:rPr>
          <w:rFonts w:ascii="Meiryo UI" w:eastAsia="Meiryo UI" w:hAnsi="Meiryo UI" w:cs="Century" w:hint="eastAsia"/>
          <w:lang w:eastAsia="ja-JP"/>
        </w:rPr>
        <w:t xml:space="preserve"> </w:t>
      </w:r>
    </w:p>
    <w:p w14:paraId="3C5FC409" w14:textId="77777777" w:rsidR="00730B7A" w:rsidRDefault="00730B7A" w:rsidP="00730B7A">
      <w:pPr>
        <w:widowControl w:val="0"/>
        <w:jc w:val="both"/>
        <w:rPr>
          <w:rFonts w:ascii="Meiryo UI" w:eastAsia="Meiryo UI" w:hAnsi="Meiryo UI" w:cs="Century" w:hint="eastAsia"/>
          <w:b/>
          <w:sz w:val="22"/>
          <w:szCs w:val="22"/>
          <w:lang w:eastAsia="ja-JP"/>
        </w:rPr>
      </w:pPr>
      <w:r>
        <w:rPr>
          <w:rFonts w:ascii="Meiryo UI" w:eastAsia="Meiryo UI" w:hAnsi="Meiryo UI" w:cs="Century" w:hint="eastAsia"/>
          <w:b/>
          <w:sz w:val="22"/>
          <w:szCs w:val="22"/>
          <w:lang w:eastAsia="ja-JP"/>
        </w:rPr>
        <w:t>日本のまちを焼け野原とした空襲</w:t>
      </w:r>
    </w:p>
    <w:p w14:paraId="40F05F17"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１９４５年３月からアメリカ軍は日本の都市を砲撃する戦略を開始しました。日本の180都市を人口の多い順にランキングして目標を決め、その都市の住宅地に焼夷弾を投下しました。山間部など地理的に到達が困難な都市や、新潟市のように原爆投下予定地に指定されている都市は対象外でした。</w:t>
      </w:r>
    </w:p>
    <w:p w14:paraId="607CDCAE"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新潟市は、小倉、広島、京都（後に長崎に変更）と並んで原爆の標的都市の一つであったため、焼夷弾による攻撃を免れました。そのため、新潟県で唯一焼夷弾を受けたのが長岡市でありました。</w:t>
      </w:r>
    </w:p>
    <w:p w14:paraId="312AEB8F" w14:textId="77777777" w:rsidR="00730B7A" w:rsidRDefault="00730B7A" w:rsidP="00730B7A">
      <w:pPr>
        <w:widowControl w:val="0"/>
        <w:rPr>
          <w:rFonts w:ascii="Meiryo UI" w:eastAsia="Meiryo UI" w:hAnsi="Meiryo UI" w:cs="Century" w:hint="eastAsia"/>
          <w:lang w:eastAsia="ja-JP"/>
        </w:rPr>
      </w:pPr>
      <w:r>
        <w:rPr>
          <w:rFonts w:ascii="Meiryo UI" w:eastAsia="Meiryo UI" w:hAnsi="Meiryo UI" w:cs="Century" w:hint="eastAsia"/>
          <w:lang w:eastAsia="ja-JP"/>
        </w:rPr>
        <w:t xml:space="preserve"> </w:t>
      </w:r>
    </w:p>
    <w:p w14:paraId="569B9973" w14:textId="77777777" w:rsidR="00730B7A" w:rsidRDefault="00730B7A" w:rsidP="00730B7A">
      <w:pPr>
        <w:widowControl w:val="0"/>
        <w:rPr>
          <w:rFonts w:ascii="Meiryo UI" w:eastAsia="Meiryo UI" w:hAnsi="Meiryo UI" w:cs="Century" w:hint="eastAsia"/>
          <w:b/>
          <w:sz w:val="22"/>
          <w:szCs w:val="22"/>
          <w:lang w:eastAsia="ja-JP"/>
        </w:rPr>
      </w:pPr>
      <w:r>
        <w:rPr>
          <w:rFonts w:ascii="Meiryo UI" w:eastAsia="Meiryo UI" w:hAnsi="Meiryo UI" w:cs="Century" w:hint="eastAsia"/>
          <w:b/>
          <w:sz w:val="22"/>
          <w:szCs w:val="22"/>
          <w:lang w:eastAsia="ja-JP"/>
        </w:rPr>
        <w:t>パンプキン爆弾</w:t>
      </w:r>
    </w:p>
    <w:p w14:paraId="2A5ABC14" w14:textId="77777777" w:rsidR="00730B7A" w:rsidRDefault="00730B7A" w:rsidP="00730B7A">
      <w:pPr>
        <w:widowControl w:val="0"/>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１９４５年７月２０日午前８時１３分（現地時間）、アメリカ軍のB29爆撃機1機が、左近地区（旧上組村左近町）の畑に大きな「かぼちゃ爆弾」（形からその名がついた）1個を投下しました。４人が一瞬にして生命を失い、５人が怪我をしました。この爆弾により、全壊２戸のほか、残り２９戸のすべての家が大きな損傷を受けました。</w:t>
      </w:r>
    </w:p>
    <w:p w14:paraId="75EE02EF" w14:textId="77777777" w:rsidR="00730B7A" w:rsidRDefault="00730B7A" w:rsidP="00730B7A">
      <w:pPr>
        <w:widowControl w:val="0"/>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これはあくまでも試験爆撃であり、長岡の津上工場を狙っていたにもかかわらず、雲に覆われて視界が悪くなり、左近の畑に投下されてしまいました。</w:t>
      </w:r>
    </w:p>
    <w:p w14:paraId="46F38974" w14:textId="77777777" w:rsidR="00730B7A" w:rsidRDefault="00730B7A" w:rsidP="00730B7A">
      <w:pPr>
        <w:widowControl w:val="0"/>
        <w:rPr>
          <w:rFonts w:ascii="Meiryo UI" w:eastAsia="Meiryo UI" w:hAnsi="Meiryo UI" w:cs="Century" w:hint="eastAsia"/>
          <w:lang w:eastAsia="ja-JP"/>
        </w:rPr>
      </w:pPr>
      <w:r>
        <w:rPr>
          <w:rFonts w:ascii="Meiryo UI" w:eastAsia="Meiryo UI" w:hAnsi="Meiryo UI" w:cs="Century" w:hint="eastAsia"/>
          <w:lang w:eastAsia="ja-JP"/>
        </w:rPr>
        <w:t xml:space="preserve"> </w:t>
      </w:r>
    </w:p>
    <w:p w14:paraId="07ED0016"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b/>
          <w:sz w:val="22"/>
          <w:szCs w:val="22"/>
          <w:lang w:eastAsia="ja-JP"/>
        </w:rPr>
        <w:t xml:space="preserve">「Ｍ４７焼夷爆弾」実物大模型 </w:t>
      </w:r>
      <w:r>
        <w:rPr>
          <w:rFonts w:ascii="Meiryo UI" w:eastAsia="Meiryo UI" w:hAnsi="Meiryo UI" w:cs="Century" w:hint="eastAsia"/>
          <w:sz w:val="22"/>
          <w:szCs w:val="22"/>
          <w:lang w:eastAsia="ja-JP"/>
        </w:rPr>
        <w:t xml:space="preserve"> </w:t>
      </w:r>
    </w:p>
    <w:p w14:paraId="2A28F069" w14:textId="77777777" w:rsidR="00730B7A" w:rsidRDefault="00730B7A" w:rsidP="00730B7A">
      <w:pPr>
        <w:widowControl w:val="0"/>
        <w:jc w:val="both"/>
        <w:rPr>
          <w:rFonts w:ascii="Meiryo UI" w:eastAsia="Meiryo UI" w:hAnsi="Meiryo UI" w:cs="Century" w:hint="eastAsia"/>
          <w:lang w:eastAsia="ja-JP"/>
        </w:rPr>
      </w:pPr>
      <w:r>
        <w:rPr>
          <w:rFonts w:ascii="Meiryo UI" w:eastAsia="Meiryo UI" w:hAnsi="Meiryo UI" w:cs="Century" w:hint="eastAsia"/>
          <w:sz w:val="22"/>
          <w:szCs w:val="22"/>
          <w:lang w:eastAsia="ja-JP"/>
        </w:rPr>
        <w:t>先頭の爆撃機（パスファインダーとも呼ばれる）が投下した大型ナパーム爆弾を、後続の主力爆撃機に向けて投下したもの。長岡市には合計２、１７２発投下されました。</w:t>
      </w:r>
    </w:p>
    <w:p w14:paraId="7F9BAA42" w14:textId="77777777" w:rsidR="00730B7A" w:rsidRDefault="00730B7A" w:rsidP="00730B7A">
      <w:pPr>
        <w:widowControl w:val="0"/>
        <w:rPr>
          <w:rFonts w:ascii="Meiryo UI" w:eastAsia="Meiryo UI" w:hAnsi="Meiryo UI" w:cs="Century" w:hint="eastAsia"/>
          <w:lang w:eastAsia="ja-JP"/>
        </w:rPr>
      </w:pPr>
      <w:r>
        <w:rPr>
          <w:rFonts w:ascii="Meiryo UI" w:eastAsia="Meiryo UI" w:hAnsi="Meiryo UI" w:cs="Century" w:hint="eastAsia"/>
          <w:lang w:eastAsia="ja-JP"/>
        </w:rPr>
        <w:t xml:space="preserve"> </w:t>
      </w:r>
    </w:p>
    <w:p w14:paraId="11DF9613" w14:textId="77777777" w:rsidR="00730B7A" w:rsidRDefault="00730B7A" w:rsidP="00730B7A">
      <w:pPr>
        <w:widowControl w:val="0"/>
        <w:jc w:val="both"/>
        <w:rPr>
          <w:rFonts w:ascii="Meiryo UI" w:eastAsia="Meiryo UI" w:hAnsi="Meiryo UI" w:cs="Century" w:hint="eastAsia"/>
          <w:b/>
          <w:sz w:val="22"/>
          <w:szCs w:val="22"/>
        </w:rPr>
      </w:pPr>
      <w:r>
        <w:rPr>
          <w:rFonts w:ascii="Meiryo UI" w:eastAsia="Meiryo UI" w:hAnsi="Meiryo UI" w:cs="Century" w:hint="eastAsia"/>
          <w:b/>
          <w:sz w:val="22"/>
          <w:szCs w:val="22"/>
        </w:rPr>
        <w:t xml:space="preserve">「Ｅ４６（Ｍ１９）集束焼夷弾」実物大模型  </w:t>
      </w:r>
    </w:p>
    <w:p w14:paraId="498D0030" w14:textId="77777777" w:rsidR="00730B7A" w:rsidRDefault="00730B7A" w:rsidP="00730B7A">
      <w:pPr>
        <w:widowControl w:val="0"/>
        <w:ind w:firstLine="22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Ｂ２９は焼夷クラスター爆弾を1発投下しました。各装置には、ナパームで満たされた38個のM69焼夷弾が含まれ、19発ずつ2段に分かれています。</w:t>
      </w:r>
    </w:p>
    <w:p w14:paraId="414D0E80" w14:textId="77777777" w:rsidR="00730B7A" w:rsidRDefault="00730B7A" w:rsidP="00730B7A">
      <w:pPr>
        <w:widowControl w:val="0"/>
        <w:rPr>
          <w:rFonts w:ascii="Meiryo UI" w:eastAsia="Meiryo UI" w:hAnsi="Meiryo UI" w:cs="Century" w:hint="eastAsia"/>
          <w:lang w:eastAsia="ja-JP"/>
        </w:rPr>
      </w:pPr>
      <w:r>
        <w:rPr>
          <w:rFonts w:ascii="Meiryo UI" w:eastAsia="Meiryo UI" w:hAnsi="Meiryo UI" w:cs="Century" w:hint="eastAsia"/>
          <w:lang w:eastAsia="ja-JP"/>
        </w:rPr>
        <w:t xml:space="preserve"> </w:t>
      </w:r>
    </w:p>
    <w:p w14:paraId="44320EE7" w14:textId="77777777" w:rsidR="00730B7A" w:rsidRDefault="00730B7A" w:rsidP="00730B7A">
      <w:pPr>
        <w:widowControl w:val="0"/>
        <w:jc w:val="both"/>
        <w:rPr>
          <w:rFonts w:ascii="Meiryo UI" w:eastAsia="Meiryo UI" w:hAnsi="Meiryo UI" w:cs="Century" w:hint="eastAsia"/>
          <w:b/>
          <w:sz w:val="22"/>
          <w:szCs w:val="22"/>
          <w:lang w:eastAsia="ja-JP"/>
        </w:rPr>
      </w:pPr>
      <w:r>
        <w:rPr>
          <w:rFonts w:ascii="Meiryo UI" w:eastAsia="Meiryo UI" w:hAnsi="Meiryo UI" w:cs="Century" w:hint="eastAsia"/>
          <w:b/>
          <w:sz w:val="22"/>
          <w:szCs w:val="22"/>
          <w:lang w:eastAsia="ja-JP"/>
        </w:rPr>
        <w:t>予告付きの爆弾</w:t>
      </w:r>
    </w:p>
    <w:p w14:paraId="4F729BEB"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爆弾の形をしたケースの中にはビラが約１万枚入っていました。この写真は、アメリカ海兵の監視のもと、日本人捕虜が爆弾のケースにリーフレットを詰めている様子です。</w:t>
      </w:r>
    </w:p>
    <w:p w14:paraId="7AD464B4"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「紙爆弾」と呼ばれた空襲予告ビラは、日本国民の戦意を喪失させることを目的に作られました。</w:t>
      </w:r>
    </w:p>
    <w:p w14:paraId="41284188"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１９４５年７月３１日から８月１日の朝まで、アメリカ軍は長岡の上空に同様の空襲予告ビラを投下しました。市民はこれらのビラを読まずに届け出るように指示されていました。実際に予告ビラを読んだ人は少なかったと思います。</w:t>
      </w:r>
    </w:p>
    <w:p w14:paraId="4066C6DD" w14:textId="77777777" w:rsidR="00730B7A" w:rsidRDefault="00730B7A" w:rsidP="00730B7A">
      <w:pPr>
        <w:widowControl w:val="0"/>
        <w:rPr>
          <w:rFonts w:ascii="Meiryo UI" w:eastAsia="Meiryo UI" w:hAnsi="Meiryo UI" w:cs="Century" w:hint="eastAsia"/>
          <w:lang w:eastAsia="ja-JP"/>
        </w:rPr>
      </w:pPr>
      <w:r>
        <w:rPr>
          <w:rFonts w:ascii="Meiryo UI" w:eastAsia="Meiryo UI" w:hAnsi="Meiryo UI" w:cs="Century" w:hint="eastAsia"/>
          <w:lang w:eastAsia="ja-JP"/>
        </w:rPr>
        <w:t xml:space="preserve"> </w:t>
      </w:r>
    </w:p>
    <w:p w14:paraId="41E7D890" w14:textId="77777777" w:rsidR="00730B7A" w:rsidRDefault="00730B7A" w:rsidP="00730B7A">
      <w:pPr>
        <w:widowControl w:val="0"/>
        <w:jc w:val="both"/>
        <w:rPr>
          <w:rFonts w:ascii="Meiryo UI" w:eastAsia="Meiryo UI" w:hAnsi="Meiryo UI" w:cs="Century" w:hint="eastAsia"/>
          <w:b/>
          <w:sz w:val="22"/>
          <w:szCs w:val="22"/>
          <w:lang w:eastAsia="ja-JP"/>
        </w:rPr>
      </w:pPr>
      <w:r>
        <w:rPr>
          <w:rFonts w:ascii="Meiryo UI" w:eastAsia="Meiryo UI" w:hAnsi="Meiryo UI" w:cs="Century" w:hint="eastAsia"/>
          <w:b/>
          <w:sz w:val="22"/>
          <w:szCs w:val="22"/>
          <w:lang w:eastAsia="ja-JP"/>
        </w:rPr>
        <w:t>佐々木 禎子 の「祈り」</w:t>
      </w:r>
    </w:p>
    <w:p w14:paraId="766BE2B4"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長岡大空襲から５日後の１９４５年８月６日、広島上空に原爆が投下されました。</w:t>
      </w:r>
    </w:p>
    <w:p w14:paraId="23E4FDCA"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この小さな鶴には、被爆して白血病を発症した１２歳の少女の祈りが込められています。禎子さんは「朝昼晩、祈り続ければ病気は治る」と信じていました。しかし、病状は悪化の一途をたどり、１９５５年１０月１２日に亡くなりました。</w:t>
      </w:r>
    </w:p>
    <w:p w14:paraId="22E90587" w14:textId="77777777" w:rsidR="00730B7A" w:rsidRDefault="00730B7A" w:rsidP="00730B7A">
      <w:pPr>
        <w:widowControl w:val="0"/>
        <w:rPr>
          <w:rFonts w:ascii="Meiryo UI" w:eastAsia="Meiryo UI" w:hAnsi="Meiryo UI" w:cs="Century" w:hint="eastAsia"/>
          <w:lang w:eastAsia="ja-JP"/>
        </w:rPr>
      </w:pPr>
      <w:r>
        <w:rPr>
          <w:rFonts w:ascii="Meiryo UI" w:eastAsia="Meiryo UI" w:hAnsi="Meiryo UI" w:cs="Century" w:hint="eastAsia"/>
          <w:lang w:eastAsia="ja-JP"/>
        </w:rPr>
        <w:t xml:space="preserve"> </w:t>
      </w:r>
    </w:p>
    <w:p w14:paraId="6085C908" w14:textId="77777777" w:rsidR="00730B7A" w:rsidRDefault="00730B7A" w:rsidP="00730B7A">
      <w:pPr>
        <w:widowControl w:val="0"/>
        <w:jc w:val="both"/>
        <w:rPr>
          <w:rFonts w:ascii="Meiryo UI" w:eastAsia="Meiryo UI" w:hAnsi="Meiryo UI" w:cs="Century" w:hint="eastAsia"/>
          <w:b/>
          <w:sz w:val="22"/>
          <w:szCs w:val="22"/>
          <w:lang w:eastAsia="ja-JP"/>
        </w:rPr>
      </w:pPr>
      <w:r>
        <w:rPr>
          <w:rFonts w:ascii="Meiryo UI" w:eastAsia="Meiryo UI" w:hAnsi="Meiryo UI" w:cs="Century" w:hint="eastAsia"/>
          <w:b/>
          <w:sz w:val="22"/>
          <w:szCs w:val="22"/>
          <w:lang w:eastAsia="ja-JP"/>
        </w:rPr>
        <w:t>戦艦ミズーリ記念館から寄贈された零戦の破片</w:t>
      </w:r>
    </w:p>
    <w:p w14:paraId="077E3291"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1945年の沖縄戦でUSSミズーリにカミカゼ攻撃を行った零式艦載機（零戦）のアルミ合金の破片です。戦艦ミズーリの右舷後部には、零戦の特攻を受けた痕跡が今も残っています。</w:t>
      </w:r>
    </w:p>
    <w:p w14:paraId="0F66A56B"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その特攻隊員は亡くなりましたが、キャラハン艦長は彼を適切に埋葬しました。</w:t>
      </w:r>
    </w:p>
    <w:p w14:paraId="6FE4AAF2"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彼は、「彼が死んだ今、もう敵ではない。彼は命をかけて究極の犠牲を払い、国のために戦ったんだ」と言いました。</w:t>
      </w:r>
    </w:p>
    <w:p w14:paraId="327F0525" w14:textId="77777777" w:rsidR="00730B7A" w:rsidRDefault="00730B7A" w:rsidP="00730B7A">
      <w:pPr>
        <w:widowControl w:val="0"/>
        <w:rPr>
          <w:rFonts w:ascii="Meiryo UI" w:eastAsia="Meiryo UI" w:hAnsi="Meiryo UI" w:cs="Century" w:hint="eastAsia"/>
          <w:lang w:eastAsia="ja-JP"/>
        </w:rPr>
      </w:pPr>
      <w:r>
        <w:rPr>
          <w:rFonts w:ascii="Meiryo UI" w:eastAsia="Meiryo UI" w:hAnsi="Meiryo UI" w:cs="Century" w:hint="eastAsia"/>
          <w:lang w:eastAsia="ja-JP"/>
        </w:rPr>
        <w:t xml:space="preserve"> </w:t>
      </w:r>
    </w:p>
    <w:p w14:paraId="4DF52067" w14:textId="77777777" w:rsidR="00730B7A" w:rsidRDefault="00730B7A" w:rsidP="00730B7A">
      <w:pPr>
        <w:widowControl w:val="0"/>
        <w:jc w:val="both"/>
        <w:rPr>
          <w:rFonts w:ascii="Meiryo UI" w:eastAsia="Meiryo UI" w:hAnsi="Meiryo UI" w:cs="Century" w:hint="eastAsia"/>
          <w:b/>
          <w:sz w:val="22"/>
          <w:szCs w:val="22"/>
          <w:lang w:eastAsia="ja-JP"/>
        </w:rPr>
      </w:pPr>
      <w:r>
        <w:rPr>
          <w:rFonts w:ascii="Meiryo UI" w:eastAsia="Meiryo UI" w:hAnsi="Meiryo UI" w:cs="Century" w:hint="eastAsia"/>
          <w:b/>
          <w:sz w:val="22"/>
          <w:szCs w:val="22"/>
          <w:lang w:eastAsia="ja-JP"/>
        </w:rPr>
        <w:t xml:space="preserve">２０１５年８月　長岡ホノルル平和交流記念事業 </w:t>
      </w:r>
    </w:p>
    <w:p w14:paraId="4FE8DF97"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２０１２年３月２日、ホノルル市と長岡市が姉妹都市となりました。その後、２０１５年８月１４日〜１６日、終戦から70年を迎えたハワイの首都で、「長岡・ホノルル平和交流記念事業」が開催されました。</w:t>
      </w:r>
    </w:p>
    <w:p w14:paraId="33D68B55"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平和・青春シンポジウムがパシフィック・アヴィエイション・ミュージアムで開催されました。また、戦争で命を落とした日米両国の人々に敬意を表して、「白菊」の花火が真珠湾に打ち上げられました。</w:t>
      </w:r>
    </w:p>
    <w:p w14:paraId="48AC0FCC" w14:textId="77777777" w:rsidR="00730B7A" w:rsidRDefault="00730B7A" w:rsidP="00730B7A">
      <w:pPr>
        <w:widowControl w:val="0"/>
        <w:rPr>
          <w:rFonts w:ascii="Meiryo UI" w:eastAsia="Meiryo UI" w:hAnsi="Meiryo UI" w:cs="Century" w:hint="eastAsia"/>
          <w:lang w:eastAsia="ja-JP"/>
        </w:rPr>
      </w:pPr>
      <w:r>
        <w:rPr>
          <w:rFonts w:ascii="Meiryo UI" w:eastAsia="Meiryo UI" w:hAnsi="Meiryo UI" w:cs="Century" w:hint="eastAsia"/>
          <w:lang w:eastAsia="ja-JP"/>
        </w:rPr>
        <w:t xml:space="preserve"> </w:t>
      </w:r>
    </w:p>
    <w:p w14:paraId="0BE6EFBC"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b/>
          <w:sz w:val="22"/>
          <w:szCs w:val="22"/>
          <w:lang w:eastAsia="ja-JP"/>
        </w:rPr>
        <w:t>長岡戦災資料館の成り立ち</w:t>
      </w:r>
      <w:r>
        <w:rPr>
          <w:rFonts w:ascii="Meiryo UI" w:eastAsia="Meiryo UI" w:hAnsi="Meiryo UI" w:cs="Century" w:hint="eastAsia"/>
          <w:sz w:val="22"/>
          <w:szCs w:val="22"/>
          <w:lang w:eastAsia="ja-JP"/>
        </w:rPr>
        <w:t xml:space="preserve"> </w:t>
      </w:r>
    </w:p>
    <w:p w14:paraId="3587C4FB"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長岡大空襲の実話を正確に伝え、戦争を経験したことのない若い世代に伝えていくことを目的としています。</w:t>
      </w:r>
    </w:p>
    <w:p w14:paraId="349CA82D"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長岡戦災資料館は、２００３年７月に開館しました。</w:t>
      </w:r>
    </w:p>
    <w:p w14:paraId="78EC9BC3"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開館以来、官民連携で運営され、20名の運営ボランティアが市政と連携しています。「長岡空襲の実相をどうしたらより確かに伝えられるか」という事を一緒に考えてきました。</w:t>
      </w:r>
    </w:p>
    <w:p w14:paraId="28208ABE" w14:textId="77777777" w:rsidR="00730B7A" w:rsidRDefault="00730B7A" w:rsidP="00730B7A">
      <w:pPr>
        <w:widowControl w:val="0"/>
        <w:jc w:val="both"/>
        <w:rPr>
          <w:rFonts w:ascii="Meiryo UI" w:eastAsia="Meiryo UI" w:hAnsi="Meiryo UI" w:cs="Century" w:hint="eastAsia"/>
          <w:sz w:val="22"/>
          <w:szCs w:val="22"/>
          <w:lang w:eastAsia="ja-JP"/>
        </w:rPr>
      </w:pPr>
      <w:r>
        <w:rPr>
          <w:rFonts w:ascii="Meiryo UI" w:eastAsia="Meiryo UI" w:hAnsi="Meiryo UI" w:cs="Century" w:hint="eastAsia"/>
          <w:sz w:val="22"/>
          <w:szCs w:val="22"/>
          <w:lang w:eastAsia="ja-JP"/>
        </w:rPr>
        <w:t>２００８年７月に現在場所に移転しました。新たに自習室が設置され、活動の場や来訪者を受け入れるスペースが増えました。</w:t>
      </w:r>
    </w:p>
    <w:p w14:paraId="0A30A9B2" w14:textId="77777777" w:rsidR="000E21EC" w:rsidRPr="00730B7A" w:rsidRDefault="000E21EC" w:rsidP="00730B7A"/>
    <w:sectPr w:rsidR="000E21EC" w:rsidRPr="00730B7A">
      <w:headerReference w:type="default" r:id="rId8"/>
      <w:pgSz w:w="11900" w:h="16840"/>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E13E" w14:textId="77777777" w:rsidR="00563F1D" w:rsidRDefault="00563F1D">
      <w:r>
        <w:separator/>
      </w:r>
    </w:p>
  </w:endnote>
  <w:endnote w:type="continuationSeparator" w:id="0">
    <w:p w14:paraId="6E08ABEC" w14:textId="77777777" w:rsidR="00563F1D" w:rsidRDefault="00563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Arial"/>
    <w:charset w:val="00"/>
    <w:family w:val="auto"/>
    <w:pitch w:val="default"/>
  </w:font>
  <w:font w:name="Arial Unicode MS">
    <w:panose1 w:val="020B0604020202020204"/>
    <w:charset w:val="80"/>
    <w:family w:val="modern"/>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58F5" w14:textId="77777777" w:rsidR="00563F1D" w:rsidRDefault="00563F1D">
      <w:r>
        <w:separator/>
      </w:r>
    </w:p>
  </w:footnote>
  <w:footnote w:type="continuationSeparator" w:id="0">
    <w:p w14:paraId="24642F5D" w14:textId="77777777" w:rsidR="00563F1D" w:rsidRDefault="00563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E814" w14:textId="77777777" w:rsidR="005C0374" w:rsidRDefault="005C0374">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875A0"/>
    <w:multiLevelType w:val="multilevel"/>
    <w:tmpl w:val="868A01B6"/>
    <w:lvl w:ilvl="0">
      <w:start w:val="1"/>
      <w:numFmt w:val="decimal"/>
      <w:lvlText w:val="%1)"/>
      <w:lvlJc w:val="left"/>
      <w:pPr>
        <w:ind w:left="480" w:hanging="72"/>
      </w:pPr>
      <w:rPr>
        <w:smallCaps w:val="0"/>
        <w:strike w:val="0"/>
        <w:shd w:val="clear" w:color="auto" w:fill="auto"/>
        <w:vertAlign w:val="baseline"/>
      </w:rPr>
    </w:lvl>
    <w:lvl w:ilvl="1">
      <w:start w:val="1"/>
      <w:numFmt w:val="decimal"/>
      <w:lvlText w:val="%2."/>
      <w:lvlJc w:val="left"/>
      <w:pPr>
        <w:ind w:left="720" w:hanging="192"/>
      </w:pPr>
      <w:rPr>
        <w:smallCaps w:val="0"/>
        <w:strike w:val="0"/>
        <w:shd w:val="clear" w:color="auto" w:fill="auto"/>
        <w:vertAlign w:val="baseline"/>
      </w:rPr>
    </w:lvl>
    <w:lvl w:ilvl="2">
      <w:start w:val="1"/>
      <w:numFmt w:val="decimal"/>
      <w:lvlText w:val="%2.%3."/>
      <w:lvlJc w:val="left"/>
      <w:pPr>
        <w:ind w:left="1269" w:firstLine="120"/>
      </w:pPr>
      <w:rPr>
        <w:smallCaps w:val="0"/>
        <w:strike w:val="0"/>
        <w:shd w:val="clear" w:color="auto" w:fill="auto"/>
        <w:vertAlign w:val="baseline"/>
      </w:rPr>
    </w:lvl>
    <w:lvl w:ilvl="3">
      <w:start w:val="1"/>
      <w:numFmt w:val="decimal"/>
      <w:lvlText w:val="%2.%3.%4."/>
      <w:lvlJc w:val="left"/>
      <w:pPr>
        <w:ind w:left="1400" w:firstLine="120"/>
      </w:pPr>
      <w:rPr>
        <w:smallCaps w:val="0"/>
        <w:strike w:val="0"/>
        <w:shd w:val="clear" w:color="auto" w:fill="auto"/>
        <w:vertAlign w:val="baseline"/>
      </w:rPr>
    </w:lvl>
    <w:lvl w:ilvl="4">
      <w:start w:val="1"/>
      <w:numFmt w:val="decimal"/>
      <w:lvlText w:val="%2.%3.%4.%5."/>
      <w:lvlJc w:val="left"/>
      <w:pPr>
        <w:ind w:left="2006" w:hanging="312"/>
      </w:pPr>
      <w:rPr>
        <w:smallCaps w:val="0"/>
        <w:strike w:val="0"/>
        <w:shd w:val="clear" w:color="auto" w:fill="auto"/>
        <w:vertAlign w:val="baseline"/>
      </w:rPr>
    </w:lvl>
    <w:lvl w:ilvl="5">
      <w:start w:val="1"/>
      <w:numFmt w:val="decimal"/>
      <w:lvlText w:val="%2.%3.%4.%5.%6."/>
      <w:lvlJc w:val="left"/>
      <w:pPr>
        <w:ind w:left="2037" w:firstLine="120"/>
      </w:pPr>
      <w:rPr>
        <w:smallCaps w:val="0"/>
        <w:strike w:val="0"/>
        <w:shd w:val="clear" w:color="auto" w:fill="auto"/>
        <w:vertAlign w:val="baseline"/>
      </w:rPr>
    </w:lvl>
    <w:lvl w:ilvl="6">
      <w:start w:val="1"/>
      <w:numFmt w:val="decimal"/>
      <w:lvlText w:val="%2.%3.%4.%5.%6.%7."/>
      <w:lvlJc w:val="left"/>
      <w:pPr>
        <w:ind w:left="2743" w:firstLine="120"/>
      </w:pPr>
      <w:rPr>
        <w:smallCaps w:val="0"/>
        <w:strike w:val="0"/>
        <w:shd w:val="clear" w:color="auto" w:fill="auto"/>
        <w:vertAlign w:val="baseline"/>
      </w:rPr>
    </w:lvl>
    <w:lvl w:ilvl="7">
      <w:start w:val="1"/>
      <w:numFmt w:val="decimal"/>
      <w:lvlText w:val="%2.%3.%4.%5.%6.%7.%8."/>
      <w:lvlJc w:val="left"/>
      <w:pPr>
        <w:ind w:left="3051" w:firstLine="120"/>
      </w:pPr>
      <w:rPr>
        <w:smallCaps w:val="0"/>
        <w:strike w:val="0"/>
        <w:shd w:val="clear" w:color="auto" w:fill="auto"/>
        <w:vertAlign w:val="baseline"/>
      </w:rPr>
    </w:lvl>
    <w:lvl w:ilvl="8">
      <w:start w:val="1"/>
      <w:numFmt w:val="decimal"/>
      <w:lvlText w:val="%2.%3.%4.%5.%6.%7.%8.%9."/>
      <w:lvlJc w:val="left"/>
      <w:pPr>
        <w:ind w:left="3480" w:firstLine="120"/>
      </w:pPr>
      <w:rPr>
        <w:smallCaps w:val="0"/>
        <w:strike w:val="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1EC"/>
    <w:rsid w:val="000C71F7"/>
    <w:rsid w:val="000E21EC"/>
    <w:rsid w:val="00110707"/>
    <w:rsid w:val="001E3AAC"/>
    <w:rsid w:val="002F0B34"/>
    <w:rsid w:val="0033265E"/>
    <w:rsid w:val="003A039D"/>
    <w:rsid w:val="004E11B7"/>
    <w:rsid w:val="00516E69"/>
    <w:rsid w:val="00563F1D"/>
    <w:rsid w:val="005A074A"/>
    <w:rsid w:val="005C0374"/>
    <w:rsid w:val="005E3319"/>
    <w:rsid w:val="006633D1"/>
    <w:rsid w:val="00730B7A"/>
    <w:rsid w:val="00764022"/>
    <w:rsid w:val="008F5F66"/>
    <w:rsid w:val="00A15856"/>
    <w:rsid w:val="00C30E1E"/>
    <w:rsid w:val="00C32E43"/>
    <w:rsid w:val="00C54E83"/>
    <w:rsid w:val="00D0078A"/>
    <w:rsid w:val="00EC1C0C"/>
    <w:rsid w:val="00F92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E85E0D5"/>
  <w15:docId w15:val="{D79D2832-7FD9-4869-BD06-159B51DFD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styleId="a4">
    <w:name w:val="Hyperlink"/>
    <w:rPr>
      <w:u w:val="single"/>
    </w:rPr>
  </w:style>
  <w:style w:type="table" w:customStyle="1" w:styleId="TableNormal2">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A">
    <w:name w:val="Body A"/>
    <w:rPr>
      <w:rFonts w:eastAsia="Arial Unicode MS" w:cs="Arial Unicode MS"/>
      <w:color w:val="000000"/>
      <w:u w:color="000000"/>
      <w:lang w:val="de-DE"/>
      <w14:textOutline w14:w="12700" w14:cap="flat" w14:cmpd="sng" w14:algn="ctr">
        <w14:noFill/>
        <w14:prstDash w14:val="solid"/>
        <w14:miter w14:lim="400000"/>
      </w14:textOutline>
    </w:rPr>
  </w:style>
  <w:style w:type="paragraph" w:customStyle="1" w:styleId="Default">
    <w:name w:val="Default"/>
    <w:pPr>
      <w:spacing w:before="160"/>
    </w:pPr>
    <w:rPr>
      <w:rFonts w:ascii="Helvetica Neue" w:eastAsia="Helvetica Neue" w:hAnsi="Helvetica Neue" w:cs="Helvetica Neue"/>
      <w:color w:val="000000"/>
      <w:u w:color="000000"/>
      <w14:textOutline w14:w="12700" w14:cap="flat" w14:cmpd="sng" w14:algn="ctr">
        <w14:noFill/>
        <w14:prstDash w14:val="solid"/>
        <w14:miter w14:lim="400000"/>
      </w14:textOutline>
    </w:rPr>
  </w:style>
  <w:style w:type="numbering" w:customStyle="1" w:styleId="ImportedStyle1">
    <w:name w:val="Imported Style 1"/>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table" w:customStyle="1" w:styleId="af5">
    <w:basedOn w:val="TableNormal1"/>
    <w:tblPr>
      <w:tblStyleRowBandSize w:val="1"/>
      <w:tblStyleColBandSize w:val="1"/>
      <w:tblCellMar>
        <w:left w:w="115" w:type="dxa"/>
        <w:right w:w="115" w:type="dxa"/>
      </w:tblCellMar>
    </w:tblPr>
  </w:style>
  <w:style w:type="table" w:customStyle="1" w:styleId="af6">
    <w:basedOn w:val="TableNormal1"/>
    <w:tblPr>
      <w:tblStyleRowBandSize w:val="1"/>
      <w:tblStyleColBandSize w:val="1"/>
      <w:tblCellMar>
        <w:left w:w="115" w:type="dxa"/>
        <w:right w:w="115" w:type="dxa"/>
      </w:tblCellMar>
    </w:tblPr>
  </w:style>
  <w:style w:type="table" w:customStyle="1" w:styleId="af7">
    <w:basedOn w:val="TableNormal1"/>
    <w:tblPr>
      <w:tblStyleRowBandSize w:val="1"/>
      <w:tblStyleColBandSize w:val="1"/>
      <w:tblCellMar>
        <w:left w:w="115" w:type="dxa"/>
        <w:right w:w="115" w:type="dxa"/>
      </w:tblCellMar>
    </w:tbl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tblPr>
      <w:tblStyleRowBandSize w:val="1"/>
      <w:tblStyleColBandSize w:val="1"/>
      <w:tblCellMar>
        <w:left w:w="115" w:type="dxa"/>
        <w:right w:w="115"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1"/>
    <w:tblPr>
      <w:tblStyleRowBandSize w:val="1"/>
      <w:tblStyleColBandSize w:val="1"/>
      <w:tblCellMar>
        <w:left w:w="115" w:type="dxa"/>
        <w:right w:w="115" w:type="dxa"/>
      </w:tblCellMar>
    </w:tblPr>
  </w:style>
  <w:style w:type="table" w:customStyle="1" w:styleId="aff5">
    <w:basedOn w:val="TableNormal1"/>
    <w:tblPr>
      <w:tblStyleRowBandSize w:val="1"/>
      <w:tblStyleColBandSize w:val="1"/>
      <w:tblCellMar>
        <w:left w:w="115" w:type="dxa"/>
        <w:right w:w="115" w:type="dxa"/>
      </w:tblCellMar>
    </w:tblPr>
  </w:style>
  <w:style w:type="table" w:customStyle="1" w:styleId="aff6">
    <w:basedOn w:val="TableNormal1"/>
    <w:tblPr>
      <w:tblStyleRowBandSize w:val="1"/>
      <w:tblStyleColBandSize w:val="1"/>
      <w:tblCellMar>
        <w:left w:w="115" w:type="dxa"/>
        <w:right w:w="115" w:type="dxa"/>
      </w:tblCellMar>
    </w:tblPr>
  </w:style>
  <w:style w:type="table" w:customStyle="1" w:styleId="aff7">
    <w:basedOn w:val="TableNormal1"/>
    <w:tblPr>
      <w:tblStyleRowBandSize w:val="1"/>
      <w:tblStyleColBandSize w:val="1"/>
      <w:tblCellMar>
        <w:left w:w="115" w:type="dxa"/>
        <w:right w:w="115" w:type="dxa"/>
      </w:tblCellMar>
    </w:tblPr>
  </w:style>
  <w:style w:type="table" w:customStyle="1" w:styleId="aff8">
    <w:basedOn w:val="TableNormal1"/>
    <w:tblPr>
      <w:tblStyleRowBandSize w:val="1"/>
      <w:tblStyleColBandSize w:val="1"/>
      <w:tblCellMar>
        <w:left w:w="115" w:type="dxa"/>
        <w:right w:w="115" w:type="dxa"/>
      </w:tblCellMar>
    </w:tblPr>
  </w:style>
  <w:style w:type="table" w:customStyle="1" w:styleId="aff9">
    <w:basedOn w:val="TableNormal1"/>
    <w:tblPr>
      <w:tblStyleRowBandSize w:val="1"/>
      <w:tblStyleColBandSize w:val="1"/>
      <w:tblCellMar>
        <w:left w:w="115" w:type="dxa"/>
        <w:right w:w="115" w:type="dxa"/>
      </w:tblCellMar>
    </w:tblPr>
  </w:style>
  <w:style w:type="table" w:customStyle="1" w:styleId="affa">
    <w:basedOn w:val="TableNormal1"/>
    <w:tblPr>
      <w:tblStyleRowBandSize w:val="1"/>
      <w:tblStyleColBandSize w:val="1"/>
      <w:tblCellMar>
        <w:left w:w="115" w:type="dxa"/>
        <w:right w:w="115" w:type="dxa"/>
      </w:tblCellMar>
    </w:tblPr>
  </w:style>
  <w:style w:type="table" w:customStyle="1" w:styleId="affb">
    <w:basedOn w:val="TableNormal1"/>
    <w:tblPr>
      <w:tblStyleRowBandSize w:val="1"/>
      <w:tblStyleColBandSize w:val="1"/>
      <w:tblCellMar>
        <w:left w:w="115" w:type="dxa"/>
        <w:right w:w="115" w:type="dxa"/>
      </w:tblCellMar>
    </w:tblPr>
  </w:style>
  <w:style w:type="table" w:customStyle="1" w:styleId="affc">
    <w:basedOn w:val="TableNormal1"/>
    <w:tblPr>
      <w:tblStyleRowBandSize w:val="1"/>
      <w:tblStyleColBandSize w:val="1"/>
      <w:tblCellMar>
        <w:left w:w="115" w:type="dxa"/>
        <w:right w:w="115" w:type="dxa"/>
      </w:tblCellMar>
    </w:tblPr>
  </w:style>
  <w:style w:type="table" w:customStyle="1" w:styleId="affd">
    <w:basedOn w:val="TableNormal1"/>
    <w:tblPr>
      <w:tblStyleRowBandSize w:val="1"/>
      <w:tblStyleColBandSize w:val="1"/>
      <w:tblCellMar>
        <w:left w:w="115" w:type="dxa"/>
        <w:right w:w="115" w:type="dxa"/>
      </w:tblCellMar>
    </w:tblPr>
  </w:style>
  <w:style w:type="table" w:customStyle="1" w:styleId="affe">
    <w:basedOn w:val="TableNormal1"/>
    <w:tblPr>
      <w:tblStyleRowBandSize w:val="1"/>
      <w:tblStyleColBandSize w:val="1"/>
      <w:tblCellMar>
        <w:left w:w="115" w:type="dxa"/>
        <w:right w:w="115" w:type="dxa"/>
      </w:tblCellMar>
    </w:tblPr>
  </w:style>
  <w:style w:type="table" w:customStyle="1" w:styleId="afff">
    <w:basedOn w:val="TableNormal1"/>
    <w:tblPr>
      <w:tblStyleRowBandSize w:val="1"/>
      <w:tblStyleColBandSize w:val="1"/>
      <w:tblCellMar>
        <w:left w:w="115" w:type="dxa"/>
        <w:right w:w="115" w:type="dxa"/>
      </w:tblCellMar>
    </w:tblPr>
  </w:style>
  <w:style w:type="table" w:customStyle="1" w:styleId="afff0">
    <w:basedOn w:val="TableNormal1"/>
    <w:tblPr>
      <w:tblStyleRowBandSize w:val="1"/>
      <w:tblStyleColBandSize w:val="1"/>
      <w:tblCellMar>
        <w:left w:w="115" w:type="dxa"/>
        <w:right w:w="115" w:type="dxa"/>
      </w:tblCellMar>
    </w:tblPr>
  </w:style>
  <w:style w:type="table" w:customStyle="1" w:styleId="afff1">
    <w:basedOn w:val="TableNormal1"/>
    <w:tblPr>
      <w:tblStyleRowBandSize w:val="1"/>
      <w:tblStyleColBandSize w:val="1"/>
      <w:tblCellMar>
        <w:left w:w="115" w:type="dxa"/>
        <w:right w:w="115" w:type="dxa"/>
      </w:tblCellMar>
    </w:tblPr>
  </w:style>
  <w:style w:type="table" w:customStyle="1" w:styleId="afff2">
    <w:basedOn w:val="TableNormal1"/>
    <w:tblPr>
      <w:tblStyleRowBandSize w:val="1"/>
      <w:tblStyleColBandSize w:val="1"/>
      <w:tblCellMar>
        <w:left w:w="115" w:type="dxa"/>
        <w:right w:w="115" w:type="dxa"/>
      </w:tblCellMar>
    </w:tblPr>
  </w:style>
  <w:style w:type="table" w:customStyle="1" w:styleId="afff3">
    <w:basedOn w:val="TableNormal1"/>
    <w:tblPr>
      <w:tblStyleRowBandSize w:val="1"/>
      <w:tblStyleColBandSize w:val="1"/>
      <w:tblCellMar>
        <w:left w:w="115" w:type="dxa"/>
        <w:right w:w="115" w:type="dxa"/>
      </w:tblCellMar>
    </w:tblPr>
  </w:style>
  <w:style w:type="table" w:customStyle="1" w:styleId="afff4">
    <w:basedOn w:val="TableNormal1"/>
    <w:tblPr>
      <w:tblStyleRowBandSize w:val="1"/>
      <w:tblStyleColBandSize w:val="1"/>
      <w:tblCellMar>
        <w:left w:w="115" w:type="dxa"/>
        <w:right w:w="115" w:type="dxa"/>
      </w:tblCellMar>
    </w:tblPr>
  </w:style>
  <w:style w:type="table" w:customStyle="1" w:styleId="afff5">
    <w:basedOn w:val="TableNormal1"/>
    <w:tblPr>
      <w:tblStyleRowBandSize w:val="1"/>
      <w:tblStyleColBandSize w:val="1"/>
      <w:tblCellMar>
        <w:left w:w="115" w:type="dxa"/>
        <w:right w:w="115" w:type="dxa"/>
      </w:tblCellMar>
    </w:tblPr>
  </w:style>
  <w:style w:type="table" w:customStyle="1" w:styleId="afff6">
    <w:basedOn w:val="TableNormal1"/>
    <w:tblPr>
      <w:tblStyleRowBandSize w:val="1"/>
      <w:tblStyleColBandSize w:val="1"/>
      <w:tblCellMar>
        <w:left w:w="115" w:type="dxa"/>
        <w:right w:w="115" w:type="dxa"/>
      </w:tblCellMar>
    </w:tblPr>
  </w:style>
  <w:style w:type="table" w:customStyle="1" w:styleId="afff7">
    <w:basedOn w:val="TableNormal1"/>
    <w:tblPr>
      <w:tblStyleRowBandSize w:val="1"/>
      <w:tblStyleColBandSize w:val="1"/>
      <w:tblCellMar>
        <w:left w:w="115" w:type="dxa"/>
        <w:right w:w="115" w:type="dxa"/>
      </w:tblCellMar>
    </w:tblPr>
  </w:style>
  <w:style w:type="table" w:customStyle="1" w:styleId="afff8">
    <w:basedOn w:val="TableNormal1"/>
    <w:tblPr>
      <w:tblStyleRowBandSize w:val="1"/>
      <w:tblStyleColBandSize w:val="1"/>
      <w:tblCellMar>
        <w:left w:w="115" w:type="dxa"/>
        <w:right w:w="115" w:type="dxa"/>
      </w:tblCellMar>
    </w:tblPr>
  </w:style>
  <w:style w:type="table" w:customStyle="1" w:styleId="afff9">
    <w:basedOn w:val="TableNormal1"/>
    <w:tblPr>
      <w:tblStyleRowBandSize w:val="1"/>
      <w:tblStyleColBandSize w:val="1"/>
      <w:tblCellMar>
        <w:left w:w="115" w:type="dxa"/>
        <w:right w:w="115" w:type="dxa"/>
      </w:tblCellMar>
    </w:tblPr>
  </w:style>
  <w:style w:type="table" w:customStyle="1" w:styleId="afffa">
    <w:basedOn w:val="TableNormal1"/>
    <w:tblPr>
      <w:tblStyleRowBandSize w:val="1"/>
      <w:tblStyleColBandSize w:val="1"/>
      <w:tblCellMar>
        <w:left w:w="115" w:type="dxa"/>
        <w:right w:w="115" w:type="dxa"/>
      </w:tblCellMar>
    </w:tblPr>
  </w:style>
  <w:style w:type="table" w:customStyle="1" w:styleId="afffb">
    <w:basedOn w:val="TableNormal1"/>
    <w:tblPr>
      <w:tblStyleRowBandSize w:val="1"/>
      <w:tblStyleColBandSize w:val="1"/>
      <w:tblCellMar>
        <w:left w:w="115" w:type="dxa"/>
        <w:right w:w="115" w:type="dxa"/>
      </w:tblCellMar>
    </w:tblPr>
  </w:style>
  <w:style w:type="table" w:customStyle="1" w:styleId="afffc">
    <w:basedOn w:val="TableNormal1"/>
    <w:tblPr>
      <w:tblStyleRowBandSize w:val="1"/>
      <w:tblStyleColBandSize w:val="1"/>
      <w:tblCellMar>
        <w:left w:w="115" w:type="dxa"/>
        <w:right w:w="115" w:type="dxa"/>
      </w:tblCellMar>
    </w:tblPr>
  </w:style>
  <w:style w:type="table" w:customStyle="1" w:styleId="afffd">
    <w:basedOn w:val="TableNormal1"/>
    <w:tblPr>
      <w:tblStyleRowBandSize w:val="1"/>
      <w:tblStyleColBandSize w:val="1"/>
      <w:tblCellMar>
        <w:left w:w="115" w:type="dxa"/>
        <w:right w:w="115" w:type="dxa"/>
      </w:tblCellMar>
    </w:tblPr>
  </w:style>
  <w:style w:type="table" w:customStyle="1" w:styleId="afffe">
    <w:basedOn w:val="TableNormal1"/>
    <w:tblPr>
      <w:tblStyleRowBandSize w:val="1"/>
      <w:tblStyleColBandSize w:val="1"/>
      <w:tblCellMar>
        <w:left w:w="115" w:type="dxa"/>
        <w:right w:w="115" w:type="dxa"/>
      </w:tblCellMar>
    </w:tblPr>
  </w:style>
  <w:style w:type="table" w:customStyle="1" w:styleId="affff">
    <w:basedOn w:val="TableNormal1"/>
    <w:tblPr>
      <w:tblStyleRowBandSize w:val="1"/>
      <w:tblStyleColBandSize w:val="1"/>
      <w:tblCellMar>
        <w:left w:w="115" w:type="dxa"/>
        <w:right w:w="115" w:type="dxa"/>
      </w:tblCellMar>
    </w:tblPr>
  </w:style>
  <w:style w:type="table" w:customStyle="1" w:styleId="affff0">
    <w:basedOn w:val="TableNormal1"/>
    <w:tblPr>
      <w:tblStyleRowBandSize w:val="1"/>
      <w:tblStyleColBandSize w:val="1"/>
      <w:tblCellMar>
        <w:left w:w="115" w:type="dxa"/>
        <w:right w:w="115" w:type="dxa"/>
      </w:tblCellMar>
    </w:tblPr>
  </w:style>
  <w:style w:type="table" w:customStyle="1" w:styleId="affff1">
    <w:basedOn w:val="TableNormal1"/>
    <w:tblPr>
      <w:tblStyleRowBandSize w:val="1"/>
      <w:tblStyleColBandSize w:val="1"/>
      <w:tblCellMar>
        <w:left w:w="115" w:type="dxa"/>
        <w:right w:w="115" w:type="dxa"/>
      </w:tblCellMar>
    </w:tblPr>
  </w:style>
  <w:style w:type="table" w:customStyle="1" w:styleId="affff2">
    <w:basedOn w:val="TableNormal1"/>
    <w:tblPr>
      <w:tblStyleRowBandSize w:val="1"/>
      <w:tblStyleColBandSize w:val="1"/>
      <w:tblCellMar>
        <w:left w:w="115" w:type="dxa"/>
        <w:right w:w="115" w:type="dxa"/>
      </w:tblCellMar>
    </w:tblPr>
  </w:style>
  <w:style w:type="table" w:customStyle="1" w:styleId="affff3">
    <w:basedOn w:val="TableNormal1"/>
    <w:tblPr>
      <w:tblStyleRowBandSize w:val="1"/>
      <w:tblStyleColBandSize w:val="1"/>
      <w:tblCellMar>
        <w:left w:w="115" w:type="dxa"/>
        <w:right w:w="115" w:type="dxa"/>
      </w:tblCellMar>
    </w:tblPr>
  </w:style>
  <w:style w:type="table" w:customStyle="1" w:styleId="affff4">
    <w:basedOn w:val="TableNormal1"/>
    <w:tblPr>
      <w:tblStyleRowBandSize w:val="1"/>
      <w:tblStyleColBandSize w:val="1"/>
      <w:tblCellMar>
        <w:left w:w="115" w:type="dxa"/>
        <w:right w:w="115" w:type="dxa"/>
      </w:tblCellMar>
    </w:tblPr>
  </w:style>
  <w:style w:type="table" w:customStyle="1" w:styleId="affff5">
    <w:basedOn w:val="TableNormal1"/>
    <w:tblPr>
      <w:tblStyleRowBandSize w:val="1"/>
      <w:tblStyleColBandSize w:val="1"/>
      <w:tblCellMar>
        <w:left w:w="115" w:type="dxa"/>
        <w:right w:w="115" w:type="dxa"/>
      </w:tblCellMar>
    </w:tblPr>
  </w:style>
  <w:style w:type="table" w:customStyle="1" w:styleId="affff6">
    <w:basedOn w:val="TableNormal1"/>
    <w:tblPr>
      <w:tblStyleRowBandSize w:val="1"/>
      <w:tblStyleColBandSize w:val="1"/>
      <w:tblCellMar>
        <w:left w:w="115" w:type="dxa"/>
        <w:right w:w="115" w:type="dxa"/>
      </w:tblCellMar>
    </w:tblPr>
  </w:style>
  <w:style w:type="table" w:customStyle="1" w:styleId="affff7">
    <w:basedOn w:val="TableNormal1"/>
    <w:tblPr>
      <w:tblStyleRowBandSize w:val="1"/>
      <w:tblStyleColBandSize w:val="1"/>
      <w:tblCellMar>
        <w:left w:w="115" w:type="dxa"/>
        <w:right w:w="115" w:type="dxa"/>
      </w:tblCellMar>
    </w:tblPr>
  </w:style>
  <w:style w:type="table" w:customStyle="1" w:styleId="affff8">
    <w:basedOn w:val="TableNormal1"/>
    <w:tblPr>
      <w:tblStyleRowBandSize w:val="1"/>
      <w:tblStyleColBandSize w:val="1"/>
      <w:tblCellMar>
        <w:left w:w="115" w:type="dxa"/>
        <w:right w:w="115" w:type="dxa"/>
      </w:tblCellMar>
    </w:tblPr>
  </w:style>
  <w:style w:type="table" w:customStyle="1" w:styleId="affff9">
    <w:basedOn w:val="TableNormal1"/>
    <w:tblPr>
      <w:tblStyleRowBandSize w:val="1"/>
      <w:tblStyleColBandSize w:val="1"/>
      <w:tblCellMar>
        <w:left w:w="115" w:type="dxa"/>
        <w:right w:w="115" w:type="dxa"/>
      </w:tblCellMar>
    </w:tblPr>
  </w:style>
  <w:style w:type="table" w:customStyle="1" w:styleId="affffa">
    <w:basedOn w:val="TableNormal1"/>
    <w:tblPr>
      <w:tblStyleRowBandSize w:val="1"/>
      <w:tblStyleColBandSize w:val="1"/>
      <w:tblCellMar>
        <w:left w:w="115" w:type="dxa"/>
        <w:right w:w="115" w:type="dxa"/>
      </w:tblCellMar>
    </w:tblPr>
  </w:style>
  <w:style w:type="table" w:customStyle="1" w:styleId="affffb">
    <w:basedOn w:val="TableNormal1"/>
    <w:tblPr>
      <w:tblStyleRowBandSize w:val="1"/>
      <w:tblStyleColBandSize w:val="1"/>
      <w:tblCellMar>
        <w:left w:w="115" w:type="dxa"/>
        <w:right w:w="115" w:type="dxa"/>
      </w:tblCellMar>
    </w:tblPr>
  </w:style>
  <w:style w:type="table" w:customStyle="1" w:styleId="affffc">
    <w:basedOn w:val="TableNormal1"/>
    <w:tblPr>
      <w:tblStyleRowBandSize w:val="1"/>
      <w:tblStyleColBandSize w:val="1"/>
      <w:tblCellMar>
        <w:left w:w="115" w:type="dxa"/>
        <w:right w:w="115" w:type="dxa"/>
      </w:tblCellMar>
    </w:tblPr>
  </w:style>
  <w:style w:type="table" w:customStyle="1" w:styleId="affffd">
    <w:basedOn w:val="TableNormal1"/>
    <w:tblPr>
      <w:tblStyleRowBandSize w:val="1"/>
      <w:tblStyleColBandSize w:val="1"/>
      <w:tblCellMar>
        <w:left w:w="115" w:type="dxa"/>
        <w:right w:w="115" w:type="dxa"/>
      </w:tblCellMar>
    </w:tblPr>
  </w:style>
  <w:style w:type="table" w:customStyle="1" w:styleId="affffe">
    <w:basedOn w:val="TableNormal1"/>
    <w:tblPr>
      <w:tblStyleRowBandSize w:val="1"/>
      <w:tblStyleColBandSize w:val="1"/>
      <w:tblCellMar>
        <w:left w:w="115" w:type="dxa"/>
        <w:right w:w="115" w:type="dxa"/>
      </w:tblCellMar>
    </w:tblPr>
  </w:style>
  <w:style w:type="table" w:customStyle="1" w:styleId="afffff">
    <w:basedOn w:val="TableNormal1"/>
    <w:tblPr>
      <w:tblStyleRowBandSize w:val="1"/>
      <w:tblStyleColBandSize w:val="1"/>
      <w:tblCellMar>
        <w:left w:w="115" w:type="dxa"/>
        <w:right w:w="115" w:type="dxa"/>
      </w:tblCellMar>
    </w:tblPr>
  </w:style>
  <w:style w:type="table" w:customStyle="1" w:styleId="afffff0">
    <w:basedOn w:val="TableNormal1"/>
    <w:tblPr>
      <w:tblStyleRowBandSize w:val="1"/>
      <w:tblStyleColBandSize w:val="1"/>
      <w:tblCellMar>
        <w:left w:w="115" w:type="dxa"/>
        <w:right w:w="115" w:type="dxa"/>
      </w:tblCellMar>
    </w:tblPr>
  </w:style>
  <w:style w:type="table" w:customStyle="1" w:styleId="afffff1">
    <w:basedOn w:val="TableNormal1"/>
    <w:tblPr>
      <w:tblStyleRowBandSize w:val="1"/>
      <w:tblStyleColBandSize w:val="1"/>
      <w:tblCellMar>
        <w:left w:w="115" w:type="dxa"/>
        <w:right w:w="115" w:type="dxa"/>
      </w:tblCellMar>
    </w:tblPr>
  </w:style>
  <w:style w:type="table" w:customStyle="1" w:styleId="afffff2">
    <w:basedOn w:val="TableNormal1"/>
    <w:tblPr>
      <w:tblStyleRowBandSize w:val="1"/>
      <w:tblStyleColBandSize w:val="1"/>
      <w:tblCellMar>
        <w:left w:w="115" w:type="dxa"/>
        <w:right w:w="115" w:type="dxa"/>
      </w:tblCellMar>
    </w:tblPr>
  </w:style>
  <w:style w:type="table" w:customStyle="1" w:styleId="afffff3">
    <w:basedOn w:val="TableNormal1"/>
    <w:tblPr>
      <w:tblStyleRowBandSize w:val="1"/>
      <w:tblStyleColBandSize w:val="1"/>
      <w:tblCellMar>
        <w:left w:w="115" w:type="dxa"/>
        <w:right w:w="115" w:type="dxa"/>
      </w:tblCellMar>
    </w:tblPr>
  </w:style>
  <w:style w:type="table" w:customStyle="1" w:styleId="afffff4">
    <w:basedOn w:val="TableNormal1"/>
    <w:tblPr>
      <w:tblStyleRowBandSize w:val="1"/>
      <w:tblStyleColBandSize w:val="1"/>
      <w:tblCellMar>
        <w:left w:w="115" w:type="dxa"/>
        <w:right w:w="115" w:type="dxa"/>
      </w:tblCellMar>
    </w:tblPr>
  </w:style>
  <w:style w:type="table" w:customStyle="1" w:styleId="afffff5">
    <w:basedOn w:val="TableNormal1"/>
    <w:tblPr>
      <w:tblStyleRowBandSize w:val="1"/>
      <w:tblStyleColBandSize w:val="1"/>
      <w:tblCellMar>
        <w:left w:w="115" w:type="dxa"/>
        <w:right w:w="115" w:type="dxa"/>
      </w:tblCellMar>
    </w:tblPr>
  </w:style>
  <w:style w:type="table" w:customStyle="1" w:styleId="afffff6">
    <w:basedOn w:val="TableNormal1"/>
    <w:tblPr>
      <w:tblStyleRowBandSize w:val="1"/>
      <w:tblStyleColBandSize w:val="1"/>
      <w:tblCellMar>
        <w:left w:w="115" w:type="dxa"/>
        <w:right w:w="115" w:type="dxa"/>
      </w:tblCellMar>
    </w:tblPr>
  </w:style>
  <w:style w:type="table" w:customStyle="1" w:styleId="afffff7">
    <w:basedOn w:val="TableNormal1"/>
    <w:tblPr>
      <w:tblStyleRowBandSize w:val="1"/>
      <w:tblStyleColBandSize w:val="1"/>
      <w:tblCellMar>
        <w:left w:w="115" w:type="dxa"/>
        <w:right w:w="115" w:type="dxa"/>
      </w:tblCellMar>
    </w:tblPr>
  </w:style>
  <w:style w:type="table" w:customStyle="1" w:styleId="afffff8">
    <w:basedOn w:val="TableNormal1"/>
    <w:tblPr>
      <w:tblStyleRowBandSize w:val="1"/>
      <w:tblStyleColBandSize w:val="1"/>
      <w:tblCellMar>
        <w:left w:w="115" w:type="dxa"/>
        <w:right w:w="115" w:type="dxa"/>
      </w:tblCellMar>
    </w:tblPr>
  </w:style>
  <w:style w:type="table" w:customStyle="1" w:styleId="afffff9">
    <w:basedOn w:val="TableNormal1"/>
    <w:tblPr>
      <w:tblStyleRowBandSize w:val="1"/>
      <w:tblStyleColBandSize w:val="1"/>
      <w:tblCellMar>
        <w:left w:w="115" w:type="dxa"/>
        <w:right w:w="115" w:type="dxa"/>
      </w:tblCellMar>
    </w:tblPr>
  </w:style>
  <w:style w:type="table" w:customStyle="1" w:styleId="afffffa">
    <w:basedOn w:val="TableNormal1"/>
    <w:tblPr>
      <w:tblStyleRowBandSize w:val="1"/>
      <w:tblStyleColBandSize w:val="1"/>
      <w:tblCellMar>
        <w:left w:w="115" w:type="dxa"/>
        <w:right w:w="115" w:type="dxa"/>
      </w:tblCellMar>
    </w:tblPr>
  </w:style>
  <w:style w:type="table" w:customStyle="1" w:styleId="afffffb">
    <w:basedOn w:val="TableNormal1"/>
    <w:tblPr>
      <w:tblStyleRowBandSize w:val="1"/>
      <w:tblStyleColBandSize w:val="1"/>
      <w:tblCellMar>
        <w:left w:w="115" w:type="dxa"/>
        <w:right w:w="115" w:type="dxa"/>
      </w:tblCellMar>
    </w:tblPr>
  </w:style>
  <w:style w:type="table" w:customStyle="1" w:styleId="afffffc">
    <w:basedOn w:val="TableNormal1"/>
    <w:tblPr>
      <w:tblStyleRowBandSize w:val="1"/>
      <w:tblStyleColBandSize w:val="1"/>
      <w:tblCellMar>
        <w:left w:w="115" w:type="dxa"/>
        <w:right w:w="115" w:type="dxa"/>
      </w:tblCellMar>
    </w:tblPr>
  </w:style>
  <w:style w:type="character" w:styleId="afffffd">
    <w:name w:val="annotation reference"/>
    <w:basedOn w:val="a0"/>
    <w:uiPriority w:val="99"/>
    <w:semiHidden/>
    <w:unhideWhenUsed/>
    <w:rsid w:val="005E3319"/>
    <w:rPr>
      <w:sz w:val="18"/>
      <w:szCs w:val="18"/>
    </w:rPr>
  </w:style>
  <w:style w:type="paragraph" w:styleId="afffffe">
    <w:name w:val="annotation text"/>
    <w:basedOn w:val="a"/>
    <w:link w:val="affffff"/>
    <w:uiPriority w:val="99"/>
    <w:semiHidden/>
    <w:unhideWhenUsed/>
    <w:rsid w:val="005E3319"/>
  </w:style>
  <w:style w:type="character" w:customStyle="1" w:styleId="affffff">
    <w:name w:val="コメント文字列 (文字)"/>
    <w:basedOn w:val="a0"/>
    <w:link w:val="afffffe"/>
    <w:uiPriority w:val="99"/>
    <w:semiHidden/>
    <w:rsid w:val="005E3319"/>
    <w:rPr>
      <w:lang w:eastAsia="en-US"/>
    </w:rPr>
  </w:style>
  <w:style w:type="paragraph" w:styleId="affffff0">
    <w:name w:val="annotation subject"/>
    <w:basedOn w:val="afffffe"/>
    <w:next w:val="afffffe"/>
    <w:link w:val="affffff1"/>
    <w:uiPriority w:val="99"/>
    <w:semiHidden/>
    <w:unhideWhenUsed/>
    <w:rsid w:val="005E3319"/>
    <w:rPr>
      <w:b/>
      <w:bCs/>
    </w:rPr>
  </w:style>
  <w:style w:type="character" w:customStyle="1" w:styleId="affffff1">
    <w:name w:val="コメント内容 (文字)"/>
    <w:basedOn w:val="affffff"/>
    <w:link w:val="affffff0"/>
    <w:uiPriority w:val="99"/>
    <w:semiHidden/>
    <w:rsid w:val="005E3319"/>
    <w:rPr>
      <w:b/>
      <w:bCs/>
      <w:lang w:eastAsia="en-US"/>
    </w:rPr>
  </w:style>
  <w:style w:type="paragraph" w:styleId="affffff2">
    <w:name w:val="Revision"/>
    <w:hidden/>
    <w:uiPriority w:val="99"/>
    <w:semiHidden/>
    <w:rsid w:val="005C0374"/>
    <w:rPr>
      <w:lang w:eastAsia="en-US"/>
    </w:rPr>
  </w:style>
  <w:style w:type="paragraph" w:styleId="affffff3">
    <w:name w:val="Balloon Text"/>
    <w:basedOn w:val="a"/>
    <w:link w:val="affffff4"/>
    <w:uiPriority w:val="99"/>
    <w:semiHidden/>
    <w:unhideWhenUsed/>
    <w:rsid w:val="005C0374"/>
    <w:rPr>
      <w:rFonts w:asciiTheme="majorHAnsi" w:eastAsiaTheme="majorEastAsia" w:hAnsiTheme="majorHAnsi" w:cstheme="majorBidi"/>
      <w:sz w:val="18"/>
      <w:szCs w:val="18"/>
    </w:rPr>
  </w:style>
  <w:style w:type="character" w:customStyle="1" w:styleId="affffff4">
    <w:name w:val="吹き出し (文字)"/>
    <w:basedOn w:val="a0"/>
    <w:link w:val="affffff3"/>
    <w:uiPriority w:val="99"/>
    <w:semiHidden/>
    <w:rsid w:val="005C0374"/>
    <w:rPr>
      <w:rFonts w:asciiTheme="majorHAnsi" w:eastAsiaTheme="majorEastAsia" w:hAnsiTheme="majorHAnsi" w:cstheme="majorBidi"/>
      <w:sz w:val="18"/>
      <w:szCs w:val="18"/>
      <w:lang w:eastAsia="en-US"/>
    </w:rPr>
  </w:style>
  <w:style w:type="paragraph" w:styleId="affffff5">
    <w:name w:val="header"/>
    <w:basedOn w:val="a"/>
    <w:link w:val="affffff6"/>
    <w:uiPriority w:val="99"/>
    <w:unhideWhenUsed/>
    <w:rsid w:val="00F92154"/>
    <w:pPr>
      <w:tabs>
        <w:tab w:val="center" w:pos="4252"/>
        <w:tab w:val="right" w:pos="8504"/>
      </w:tabs>
      <w:snapToGrid w:val="0"/>
    </w:pPr>
  </w:style>
  <w:style w:type="character" w:customStyle="1" w:styleId="affffff6">
    <w:name w:val="ヘッダー (文字)"/>
    <w:basedOn w:val="a0"/>
    <w:link w:val="affffff5"/>
    <w:uiPriority w:val="99"/>
    <w:rsid w:val="00F92154"/>
    <w:rPr>
      <w:lang w:eastAsia="en-US"/>
    </w:rPr>
  </w:style>
  <w:style w:type="paragraph" w:styleId="affffff7">
    <w:name w:val="footer"/>
    <w:basedOn w:val="a"/>
    <w:link w:val="affffff8"/>
    <w:uiPriority w:val="99"/>
    <w:unhideWhenUsed/>
    <w:rsid w:val="00F92154"/>
    <w:pPr>
      <w:tabs>
        <w:tab w:val="center" w:pos="4252"/>
        <w:tab w:val="right" w:pos="8504"/>
      </w:tabs>
      <w:snapToGrid w:val="0"/>
    </w:pPr>
  </w:style>
  <w:style w:type="character" w:customStyle="1" w:styleId="affffff8">
    <w:name w:val="フッター (文字)"/>
    <w:basedOn w:val="a0"/>
    <w:link w:val="affffff7"/>
    <w:uiPriority w:val="99"/>
    <w:rsid w:val="00F9215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23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テーマ">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テーマ">
      <a:majorFont>
        <a:latin typeface="Helvetica Neue"/>
        <a:ea typeface="ＭＳ ゴシック"/>
        <a:cs typeface="Helvetica Neue"/>
      </a:majorFont>
      <a:minorFont>
        <a:latin typeface="Helvetica Neue"/>
        <a:ea typeface="ＭＳ 明朝"/>
        <a:cs typeface="Helvetica Neue"/>
      </a:minorFont>
    </a:fontScheme>
    <a:fmtScheme name="Office テーマ">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5LO1tPJl5huAprGTSZQ9W0Eszw==">AMUW2mU6+JXLOONEL0p5quCGjSENFM8o9NespiLOUWTDIEkrd0adKDgsk+aRbkxKCqliQeJZre6KbmAIp1t05gxskBsKadNqV5IS069v9YFCOS0kxJ3uswp84PhlbDo8y3Hh/dDwVzd0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大髙 翔子</dc:creator>
  <cp:lastModifiedBy>Sayaka Yabe</cp:lastModifiedBy>
  <cp:revision>2</cp:revision>
  <dcterms:created xsi:type="dcterms:W3CDTF">2022-11-08T11:24:00Z</dcterms:created>
  <dcterms:modified xsi:type="dcterms:W3CDTF">2022-11-08T11:24:00Z</dcterms:modified>
</cp:coreProperties>
</file>