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6688E"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b/>
          <w:color w:val="000000"/>
          <w:sz w:val="22"/>
          <w:szCs w:val="22"/>
          <w:lang w:eastAsia="ja-JP"/>
        </w:rPr>
      </w:pPr>
      <w:r>
        <w:rPr>
          <w:rFonts w:ascii="Meiryo UI" w:eastAsia="Meiryo UI" w:hAnsi="Meiryo UI" w:cs="Century" w:hint="eastAsia"/>
          <w:color w:val="000000"/>
          <w:sz w:val="22"/>
          <w:szCs w:val="22"/>
          <w:lang w:eastAsia="ja-JP"/>
        </w:rPr>
        <w:t>寺泊</w:t>
      </w:r>
    </w:p>
    <w:p w14:paraId="4D85CDB3"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江戸時代(1603–1867)以前から交易と宗教活動の拠点となっていました。本州の海岸線で佐渡島に最も近い場所に位置する寺泊は、島民と日本の架け橋としての役割を果たしていました。北前船</w:t>
      </w:r>
      <w:r>
        <w:rPr>
          <w:rFonts w:ascii="Meiryo UI" w:eastAsia="Meiryo UI" w:hAnsi="Meiryo UI" w:cs="Century" w:hint="eastAsia"/>
          <w:i/>
          <w:color w:val="000000"/>
          <w:sz w:val="22"/>
          <w:szCs w:val="22"/>
          <w:lang w:eastAsia="ja-JP"/>
        </w:rPr>
        <w:t xml:space="preserve"> northern-bound ships</w:t>
      </w:r>
      <w:r>
        <w:rPr>
          <w:rFonts w:ascii="Meiryo UI" w:eastAsia="Meiryo UI" w:hAnsi="Meiryo UI" w:cs="Century" w:hint="eastAsia"/>
          <w:color w:val="000000"/>
          <w:sz w:val="22"/>
          <w:szCs w:val="22"/>
          <w:lang w:eastAsia="ja-JP"/>
        </w:rPr>
        <w:t xml:space="preserve"> と呼ばれる商船は、物資や人の往来を行ったり来たりしていました。信濃（現・長野）への北国街道と三国街道（現・群馬県高崎方面）の2つの主要な交易路も寺泊から日本有数の商業の中心地へと続いていました。</w:t>
      </w:r>
    </w:p>
    <w:p w14:paraId="21313C1F"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寺泊には多くの神社仏閣があり、その中には歴史的にも重要な意味を持つものもあります。寺社仏閣を背景に、貿易の賑わいと文化活動の活発さが混在していたことから、「北国の鎌倉」と呼ばれるようになりました。鎌倉とは、12世紀から14世紀にかけて最初の武家政権が置かれた場所で、現在の横浜市の近くに位置しています。</w:t>
      </w:r>
    </w:p>
    <w:p w14:paraId="78DC40E8"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今日、寺泊は、魚市場とウォーターフロントにある一流のシーフードレストランで最もよく知られています。しかし、このエリアでは美味しいランチだけではなく、近くのお寺や神社はいずれもウォーターフロントから徒歩で快適な距離にあり、階段や遊歩道により簡単にアクセスすることができます。</w:t>
      </w:r>
    </w:p>
    <w:p w14:paraId="34B307B5"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hint="eastAsia"/>
          <w:color w:val="000000"/>
          <w:sz w:val="22"/>
          <w:szCs w:val="22"/>
          <w:lang w:eastAsia="ja-JP"/>
        </w:rPr>
      </w:pPr>
    </w:p>
    <w:p w14:paraId="533B754F"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hint="eastAsia"/>
          <w:color w:val="000000"/>
          <w:sz w:val="22"/>
          <w:szCs w:val="22"/>
          <w:lang w:eastAsia="ja-JP"/>
        </w:rPr>
      </w:pPr>
    </w:p>
    <w:p w14:paraId="2B102746" w14:textId="77777777" w:rsidR="00200436" w:rsidRDefault="00200436" w:rsidP="00200436">
      <w:pPr>
        <w:spacing w:line="276" w:lineRule="auto"/>
        <w:rPr>
          <w:rFonts w:ascii="Meiryo UI" w:eastAsia="Meiryo UI" w:hAnsi="Meiryo UI" w:cs="Century" w:hint="eastAsia"/>
          <w:b/>
          <w:color w:val="000000"/>
          <w:sz w:val="22"/>
          <w:szCs w:val="22"/>
          <w:lang w:eastAsia="ja-JP"/>
        </w:rPr>
      </w:pPr>
      <w:r>
        <w:rPr>
          <w:rFonts w:ascii="Meiryo UI" w:eastAsia="Meiryo UI" w:hAnsi="Meiryo UI" w:cs="Century" w:hint="eastAsia"/>
          <w:b/>
          <w:color w:val="000000"/>
          <w:sz w:val="22"/>
          <w:szCs w:val="22"/>
          <w:lang w:eastAsia="ja-JP"/>
        </w:rPr>
        <w:t>照明寺</w:t>
      </w:r>
    </w:p>
    <w:p w14:paraId="25BF7E86"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このお寺は、禅宗の僧侶であり歌人としても有名な良寛とゆかりの深いお寺です。良寛は頻繁に旅をしていましたが、人生の中で3つの重要な時期に照明寺に住むようになりました。</w:t>
      </w:r>
    </w:p>
    <w:p w14:paraId="3E65A934"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45歳の時にはここで詩を書き、貧しい人や助けてくれた人に贈る書道の名作に時間を費やしたという。70歳と72歳の時の2回、寺に戻ってきました。</w:t>
      </w:r>
    </w:p>
    <w:p w14:paraId="5D191784"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1841年の火災で元の寺の建物は焼失しましたが、1933年に再建されました。</w:t>
      </w:r>
    </w:p>
    <w:p w14:paraId="26A804D0"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現在、照明寺は長岡市の文化財（史跡）に指定されています。</w:t>
      </w:r>
    </w:p>
    <w:p w14:paraId="16CD5B95"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5F3F298F"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聚感園ガーデン</w:t>
      </w:r>
    </w:p>
    <w:p w14:paraId="152A4944"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この優雅な庭園は、11～12世紀にまで遡る有力な一族である五十嵐家が所有していた屋敷の一部でした。</w:t>
      </w:r>
    </w:p>
    <w:p w14:paraId="124961EA"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戊辰戦争（1868年～1869年）の際に彼らの住居が焼失し、その跡地に庭園が建設されました。</w:t>
      </w:r>
    </w:p>
    <w:p w14:paraId="243E07EE"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庭園の奥には、源義経（1159～1189年）と武蔵坊弁慶（1155～1189年）の記念碑があります。義経と弁慶の愛称で親しまれていたこの二人の名士は、一時期五十嵐家に居候していました。二人の冒険は、日本の昔話の基礎となっています。昔話によると、弁慶が使ったと言われている井戸がここにあります。</w:t>
      </w:r>
    </w:p>
    <w:p w14:paraId="7AC2F898"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公園内には大きな石碑がありますが、時代の経過のせいで残念ながら読解不能となっています。700年前に藤原為兼（1254～1332）が1</w:t>
      </w:r>
      <w:r>
        <w:rPr>
          <w:rFonts w:ascii="Meiryo UI" w:eastAsia="Meiryo UI" w:hAnsi="Meiryo UI" w:cs="Century" w:hint="eastAsia"/>
          <w:sz w:val="22"/>
          <w:szCs w:val="22"/>
          <w:highlight w:val="white"/>
          <w:lang w:eastAsia="ja-JP"/>
        </w:rPr>
        <w:t>3</w:t>
      </w:r>
      <w:r>
        <w:rPr>
          <w:rFonts w:ascii="Meiryo UI" w:eastAsia="Meiryo UI" w:hAnsi="Meiryo UI" w:cs="Century" w:hint="eastAsia"/>
          <w:color w:val="000000"/>
          <w:sz w:val="22"/>
          <w:szCs w:val="22"/>
          <w:highlight w:val="white"/>
          <w:lang w:eastAsia="ja-JP"/>
        </w:rPr>
        <w:t>世紀に大恋愛中の初君のために書いた詩の歌詞が刻まれています。</w:t>
      </w:r>
    </w:p>
    <w:p w14:paraId="24C7D5D5" w14:textId="77777777" w:rsidR="00200436" w:rsidRDefault="00200436" w:rsidP="00200436">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s>
        <w:rPr>
          <w:rFonts w:ascii="Meiryo UI" w:eastAsia="Meiryo UI" w:hAnsi="Meiryo UI" w:cs="Century" w:hint="eastAsia"/>
          <w:color w:val="000000"/>
          <w:sz w:val="22"/>
          <w:szCs w:val="22"/>
          <w:highlight w:val="white"/>
          <w:lang w:eastAsia="ja-JP"/>
        </w:rPr>
      </w:pPr>
    </w:p>
    <w:p w14:paraId="21631489"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白山媛神社</w:t>
      </w:r>
    </w:p>
    <w:p w14:paraId="7117A289"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海上安全にゆかりのある二柱の女性神を祀った神社です。イザナミノミコトとククリヒメノミコトを祀っています。船乗りや漁師は、海に出る前にここで祈りを捧げることが多いです。訪問者は、細部にまでこだわった神社の天井に描かれている龍の模様に気づくでしょう。龍は船員の保護者としての役割を果たしています。</w:t>
      </w:r>
    </w:p>
    <w:p w14:paraId="32C348A6"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神社の正確な創建年は、記録が失われ、歴史の中で建て替えを繰り返しているため不明です。しかし、現在の構造は1771年までさかのぼることがわかっています。</w:t>
      </w:r>
    </w:p>
    <w:p w14:paraId="08C6CAEB"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4D635F34"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二面神社</w:t>
      </w:r>
    </w:p>
    <w:p w14:paraId="784832D1"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1391年、漁師の平三郎が海に閉じ込められた神を探すようにとの予言的な夢を見て、この神社を創建したと伝えられています。翌日、近くの海岸に行き、海中を探していると、男と女の二面性を持つ正体不明の御神体を発見したと言われています。その同じ像が今でも神社の中に鎮座しています。</w:t>
      </w:r>
    </w:p>
    <w:p w14:paraId="04D26F78"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神社の内部は、秋と春の例大祭の時のみ公開され、男性の顔と女性の顔がお披露目されます。</w:t>
      </w:r>
    </w:p>
    <w:p w14:paraId="180B05AB"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二面神社は白山姫神社の境内にあります。</w:t>
      </w:r>
    </w:p>
    <w:p w14:paraId="79E53800"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69A251C2"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船絵馬（船のアートワーク）</w:t>
      </w:r>
    </w:p>
    <w:p w14:paraId="13275FC3"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白山媛神社の本殿内には、かつて寺泊に仕えていた交易船や漁船にまつわる52点の作品が展示されています。江戸時代</w:t>
      </w:r>
      <w:r>
        <w:rPr>
          <w:rFonts w:ascii="Meiryo UI" w:eastAsia="Meiryo UI" w:hAnsi="Meiryo UI" w:cs="Century" w:hint="eastAsia"/>
          <w:color w:val="000000"/>
          <w:sz w:val="22"/>
          <w:szCs w:val="22"/>
          <w:lang w:eastAsia="ja-JP"/>
        </w:rPr>
        <w:t xml:space="preserve">(1603–1867) </w:t>
      </w:r>
      <w:r>
        <w:rPr>
          <w:rFonts w:ascii="Meiryo UI" w:eastAsia="Meiryo UI" w:hAnsi="Meiryo UI" w:cs="Century" w:hint="eastAsia"/>
          <w:color w:val="000000"/>
          <w:sz w:val="22"/>
          <w:szCs w:val="22"/>
          <w:highlight w:val="white"/>
          <w:lang w:eastAsia="ja-JP"/>
        </w:rPr>
        <w:t>から明治時代</w:t>
      </w:r>
      <w:r>
        <w:rPr>
          <w:rFonts w:ascii="Meiryo UI" w:eastAsia="Meiryo UI" w:hAnsi="Meiryo UI" w:cs="Century" w:hint="eastAsia"/>
          <w:color w:val="000000"/>
          <w:sz w:val="22"/>
          <w:szCs w:val="22"/>
          <w:lang w:eastAsia="ja-JP"/>
        </w:rPr>
        <w:t>(1868–1912)</w:t>
      </w:r>
      <w:r>
        <w:rPr>
          <w:rFonts w:ascii="Meiryo UI" w:eastAsia="Meiryo UI" w:hAnsi="Meiryo UI" w:cs="Century" w:hint="eastAsia"/>
          <w:color w:val="000000"/>
          <w:sz w:val="22"/>
          <w:szCs w:val="22"/>
          <w:highlight w:val="white"/>
          <w:lang w:eastAsia="ja-JP"/>
        </w:rPr>
        <w:t>にかけて作られたもので、最も古いものは1774年に作られ、最後のものは1889年に奉納されています。</w:t>
      </w:r>
    </w:p>
    <w:p w14:paraId="68917EF9"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これらの重要な作品は、北前船や寺泊地域の歴史を研究している方には参考になるでしょう。1970年には重要文化財に指定され、船の美術品は収納ホールに保管されています。</w:t>
      </w:r>
    </w:p>
    <w:p w14:paraId="30C10D12"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791F339E"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聖徳寺</w:t>
      </w:r>
    </w:p>
    <w:p w14:paraId="3D0C2A90"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1593年に石川県から寺泊に移転したお寺です。庭園は江戸時代中期のものです。多くの信徒の支持を得て、京都の庭師が設計し、大阪から運ばれてきた石を利用しています。</w:t>
      </w:r>
    </w:p>
    <w:p w14:paraId="16C99B06"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北の海岸沿いに北前航路を航行していた千石船（千の米俵船）が、寺泊に庭師と岩石の両方を乗せてきました。散策園は、地形の起伏を生かしたものです。</w:t>
      </w:r>
    </w:p>
    <w:p w14:paraId="4F4CFE4F"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庭にある小さなお寺である聖徳寺の境内からは、下の海岸線を一望できます。晴れた日には佐渡島まで見渡せます。</w:t>
      </w:r>
    </w:p>
    <w:p w14:paraId="57C50154"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庭園は長岡市指定文化財に指定されています。</w:t>
      </w:r>
    </w:p>
    <w:p w14:paraId="3BD0CB2F"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540F917B"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養泉寺</w:t>
      </w:r>
    </w:p>
    <w:p w14:paraId="744CF97E"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1594年に信濃国（現在の長野県）の浄興の僧侶によって創建されました。僧侶は、大名である武田信玄（1521～1573）の家臣でありました。信玄亡き後僧侶になったと言われています。</w:t>
      </w:r>
    </w:p>
    <w:p w14:paraId="480C407F"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紅葉の美しさで知られる庭園からは、寺泊や佐渡島が一望できます。事前に見学ツアーを予約することができ、定期的に行われる伝統舞踊などのイベントを楽しむことができます。</w:t>
      </w:r>
    </w:p>
    <w:p w14:paraId="19132D5E"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0FC031D6"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法福寺</w:t>
      </w:r>
    </w:p>
    <w:p w14:paraId="5B44AB8B"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法福寺は、757年に建立された地域最古のお寺で、日蓮宗に属しています。寺院の境内や庭園を見学することができます。お寺の内部を見学するには予約が必要です。</w:t>
      </w:r>
    </w:p>
    <w:p w14:paraId="7475D44D"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p>
    <w:p w14:paraId="675E81E2" w14:textId="77777777" w:rsidR="00200436" w:rsidRDefault="00200436" w:rsidP="00200436">
      <w:pPr>
        <w:spacing w:line="276" w:lineRule="auto"/>
        <w:rPr>
          <w:rFonts w:ascii="Meiryo UI" w:eastAsia="Meiryo UI" w:hAnsi="Meiryo UI" w:cs="Century" w:hint="eastAsia"/>
          <w:b/>
          <w:color w:val="000000"/>
          <w:sz w:val="22"/>
          <w:szCs w:val="22"/>
          <w:highlight w:val="white"/>
          <w:lang w:eastAsia="ja-JP"/>
        </w:rPr>
      </w:pPr>
      <w:r>
        <w:rPr>
          <w:rFonts w:ascii="Meiryo UI" w:eastAsia="Meiryo UI" w:hAnsi="Meiryo UI" w:cs="Century" w:hint="eastAsia"/>
          <w:b/>
          <w:color w:val="000000"/>
          <w:sz w:val="22"/>
          <w:szCs w:val="22"/>
          <w:highlight w:val="white"/>
          <w:lang w:eastAsia="ja-JP"/>
        </w:rPr>
        <w:t>日蓮像</w:t>
      </w:r>
    </w:p>
    <w:p w14:paraId="2FA9BB4E"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日蓮（1222～1282）は、日本の宗教史の中で最も著名な人物の一人です。独自の仏教の宗派を開いた学者です。1964年に建てされたこの像は、日蓮が流刑された佐渡行きの輸送船を待つ間に寺泊に7日間滞在した彼への敬意として建てられたものです。</w:t>
      </w:r>
    </w:p>
    <w:p w14:paraId="1D837103" w14:textId="77777777" w:rsidR="00200436" w:rsidRDefault="00200436" w:rsidP="00200436">
      <w:pPr>
        <w:spacing w:line="276" w:lineRule="auto"/>
        <w:rPr>
          <w:rFonts w:ascii="Meiryo UI" w:eastAsia="Meiryo UI" w:hAnsi="Meiryo UI" w:cs="Century" w:hint="eastAsia"/>
          <w:color w:val="000000"/>
          <w:sz w:val="22"/>
          <w:szCs w:val="22"/>
          <w:highlight w:val="white"/>
          <w:lang w:eastAsia="ja-JP"/>
        </w:rPr>
      </w:pPr>
      <w:r>
        <w:rPr>
          <w:rFonts w:ascii="Meiryo UI" w:eastAsia="Meiryo UI" w:hAnsi="Meiryo UI" w:cs="Century" w:hint="eastAsia"/>
          <w:color w:val="000000"/>
          <w:sz w:val="22"/>
          <w:szCs w:val="22"/>
          <w:highlight w:val="white"/>
          <w:lang w:eastAsia="ja-JP"/>
        </w:rPr>
        <w:t>当時、日蓮が上総国（現在の千葉県）の一人の弟子宛てに書いた手紙は、現在では「寺泊御書（寺泊からの手紙）」と呼ばれる聖典として知られています。</w:t>
      </w:r>
    </w:p>
    <w:p w14:paraId="0A30A9B2" w14:textId="77777777" w:rsidR="000E21EC" w:rsidRPr="00200436" w:rsidRDefault="000E21EC" w:rsidP="00200436"/>
    <w:sectPr w:rsidR="000E21EC" w:rsidRPr="00200436">
      <w:headerReference w:type="default" r:id="rId8"/>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FE13E" w14:textId="77777777" w:rsidR="00563F1D" w:rsidRDefault="00563F1D">
      <w:r>
        <w:separator/>
      </w:r>
    </w:p>
  </w:endnote>
  <w:endnote w:type="continuationSeparator" w:id="0">
    <w:p w14:paraId="6E08ABEC" w14:textId="77777777" w:rsidR="00563F1D" w:rsidRDefault="0056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Arial"/>
    <w:charset w:val="00"/>
    <w:family w:val="auto"/>
    <w:pitch w:val="default"/>
  </w:font>
  <w:font w:name="Arial Unicode MS">
    <w:panose1 w:val="020B0604020202020204"/>
    <w:charset w:val="80"/>
    <w:family w:val="modern"/>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458F5" w14:textId="77777777" w:rsidR="00563F1D" w:rsidRDefault="00563F1D">
      <w:r>
        <w:separator/>
      </w:r>
    </w:p>
  </w:footnote>
  <w:footnote w:type="continuationSeparator" w:id="0">
    <w:p w14:paraId="24642F5D" w14:textId="77777777" w:rsidR="00563F1D" w:rsidRDefault="0056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2E814" w14:textId="77777777" w:rsidR="005C0374" w:rsidRDefault="005C0374">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8875A0"/>
    <w:multiLevelType w:val="multilevel"/>
    <w:tmpl w:val="868A01B6"/>
    <w:lvl w:ilvl="0">
      <w:start w:val="1"/>
      <w:numFmt w:val="decimal"/>
      <w:lvlText w:val="%1)"/>
      <w:lvlJc w:val="left"/>
      <w:pPr>
        <w:ind w:left="480" w:hanging="72"/>
      </w:pPr>
      <w:rPr>
        <w:smallCaps w:val="0"/>
        <w:strike w:val="0"/>
        <w:shd w:val="clear" w:color="auto" w:fill="auto"/>
        <w:vertAlign w:val="baseline"/>
      </w:rPr>
    </w:lvl>
    <w:lvl w:ilvl="1">
      <w:start w:val="1"/>
      <w:numFmt w:val="decimal"/>
      <w:lvlText w:val="%2."/>
      <w:lvlJc w:val="left"/>
      <w:pPr>
        <w:ind w:left="720" w:hanging="192"/>
      </w:pPr>
      <w:rPr>
        <w:smallCaps w:val="0"/>
        <w:strike w:val="0"/>
        <w:shd w:val="clear" w:color="auto" w:fill="auto"/>
        <w:vertAlign w:val="baseline"/>
      </w:rPr>
    </w:lvl>
    <w:lvl w:ilvl="2">
      <w:start w:val="1"/>
      <w:numFmt w:val="decimal"/>
      <w:lvlText w:val="%2.%3."/>
      <w:lvlJc w:val="left"/>
      <w:pPr>
        <w:ind w:left="1269" w:firstLine="120"/>
      </w:pPr>
      <w:rPr>
        <w:smallCaps w:val="0"/>
        <w:strike w:val="0"/>
        <w:shd w:val="clear" w:color="auto" w:fill="auto"/>
        <w:vertAlign w:val="baseline"/>
      </w:rPr>
    </w:lvl>
    <w:lvl w:ilvl="3">
      <w:start w:val="1"/>
      <w:numFmt w:val="decimal"/>
      <w:lvlText w:val="%2.%3.%4."/>
      <w:lvlJc w:val="left"/>
      <w:pPr>
        <w:ind w:left="1400" w:firstLine="120"/>
      </w:pPr>
      <w:rPr>
        <w:smallCaps w:val="0"/>
        <w:strike w:val="0"/>
        <w:shd w:val="clear" w:color="auto" w:fill="auto"/>
        <w:vertAlign w:val="baseline"/>
      </w:rPr>
    </w:lvl>
    <w:lvl w:ilvl="4">
      <w:start w:val="1"/>
      <w:numFmt w:val="decimal"/>
      <w:lvlText w:val="%2.%3.%4.%5."/>
      <w:lvlJc w:val="left"/>
      <w:pPr>
        <w:ind w:left="2006" w:hanging="312"/>
      </w:pPr>
      <w:rPr>
        <w:smallCaps w:val="0"/>
        <w:strike w:val="0"/>
        <w:shd w:val="clear" w:color="auto" w:fill="auto"/>
        <w:vertAlign w:val="baseline"/>
      </w:rPr>
    </w:lvl>
    <w:lvl w:ilvl="5">
      <w:start w:val="1"/>
      <w:numFmt w:val="decimal"/>
      <w:lvlText w:val="%2.%3.%4.%5.%6."/>
      <w:lvlJc w:val="left"/>
      <w:pPr>
        <w:ind w:left="2037" w:firstLine="120"/>
      </w:pPr>
      <w:rPr>
        <w:smallCaps w:val="0"/>
        <w:strike w:val="0"/>
        <w:shd w:val="clear" w:color="auto" w:fill="auto"/>
        <w:vertAlign w:val="baseline"/>
      </w:rPr>
    </w:lvl>
    <w:lvl w:ilvl="6">
      <w:start w:val="1"/>
      <w:numFmt w:val="decimal"/>
      <w:lvlText w:val="%2.%3.%4.%5.%6.%7."/>
      <w:lvlJc w:val="left"/>
      <w:pPr>
        <w:ind w:left="2743" w:firstLine="120"/>
      </w:pPr>
      <w:rPr>
        <w:smallCaps w:val="0"/>
        <w:strike w:val="0"/>
        <w:shd w:val="clear" w:color="auto" w:fill="auto"/>
        <w:vertAlign w:val="baseline"/>
      </w:rPr>
    </w:lvl>
    <w:lvl w:ilvl="7">
      <w:start w:val="1"/>
      <w:numFmt w:val="decimal"/>
      <w:lvlText w:val="%2.%3.%4.%5.%6.%7.%8."/>
      <w:lvlJc w:val="left"/>
      <w:pPr>
        <w:ind w:left="3051" w:firstLine="120"/>
      </w:pPr>
      <w:rPr>
        <w:smallCaps w:val="0"/>
        <w:strike w:val="0"/>
        <w:shd w:val="clear" w:color="auto" w:fill="auto"/>
        <w:vertAlign w:val="baseline"/>
      </w:rPr>
    </w:lvl>
    <w:lvl w:ilvl="8">
      <w:start w:val="1"/>
      <w:numFmt w:val="decimal"/>
      <w:lvlText w:val="%2.%3.%4.%5.%6.%7.%8.%9."/>
      <w:lvlJc w:val="left"/>
      <w:pPr>
        <w:ind w:left="3480" w:firstLine="120"/>
      </w:pPr>
      <w:rPr>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1EC"/>
    <w:rsid w:val="000C71F7"/>
    <w:rsid w:val="000E21EC"/>
    <w:rsid w:val="00110707"/>
    <w:rsid w:val="001E3AAC"/>
    <w:rsid w:val="00200436"/>
    <w:rsid w:val="002F0B34"/>
    <w:rsid w:val="0033265E"/>
    <w:rsid w:val="003A039D"/>
    <w:rsid w:val="004E11B7"/>
    <w:rsid w:val="00516E69"/>
    <w:rsid w:val="00563F1D"/>
    <w:rsid w:val="005A074A"/>
    <w:rsid w:val="005C0374"/>
    <w:rsid w:val="005E3319"/>
    <w:rsid w:val="006633D1"/>
    <w:rsid w:val="00764022"/>
    <w:rsid w:val="008F5F66"/>
    <w:rsid w:val="00A15856"/>
    <w:rsid w:val="00C30E1E"/>
    <w:rsid w:val="00C32E43"/>
    <w:rsid w:val="00C54E83"/>
    <w:rsid w:val="00D0078A"/>
    <w:rsid w:val="00EC1C0C"/>
    <w:rsid w:val="00F92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E85E0D5"/>
  <w15:docId w15:val="{D79D2832-7FD9-4869-BD06-159B51DFD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eastAsia="en-US"/>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styleId="a4">
    <w:name w:val="Hyperlink"/>
    <w:rPr>
      <w:u w:val="single"/>
    </w:rPr>
  </w:style>
  <w:style w:type="table" w:customStyle="1" w:styleId="TableNormal2">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BodyA">
    <w:name w:val="Body A"/>
    <w:rPr>
      <w:rFonts w:eastAsia="Arial Unicode MS" w:cs="Arial Unicode MS"/>
      <w:color w:val="000000"/>
      <w:u w:color="000000"/>
      <w:lang w:val="de-DE"/>
      <w14:textOutline w14:w="12700" w14:cap="flat" w14:cmpd="sng" w14:algn="ctr">
        <w14:noFill/>
        <w14:prstDash w14:val="solid"/>
        <w14:miter w14:lim="400000"/>
      </w14:textOutline>
    </w:rPr>
  </w:style>
  <w:style w:type="paragraph" w:customStyle="1" w:styleId="Default">
    <w:name w:val="Default"/>
    <w:pPr>
      <w:spacing w:before="160"/>
    </w:pPr>
    <w:rPr>
      <w:rFonts w:ascii="Helvetica Neue" w:eastAsia="Helvetica Neue" w:hAnsi="Helvetica Neue" w:cs="Helvetica Neue"/>
      <w:color w:val="000000"/>
      <w:u w:color="000000"/>
      <w14:textOutline w14:w="12700" w14:cap="flat" w14:cmpd="sng" w14:algn="ctr">
        <w14:noFill/>
        <w14:prstDash w14:val="solid"/>
        <w14:miter w14:lim="400000"/>
      </w14:textOutline>
    </w:rPr>
  </w:style>
  <w:style w:type="numbering" w:customStyle="1" w:styleId="ImportedStyle1">
    <w:name w:val="Imported Style 1"/>
  </w:style>
  <w:style w:type="paragraph" w:styleId="a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1"/>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1"/>
    <w:tblPr>
      <w:tblStyleRowBandSize w:val="1"/>
      <w:tblStyleColBandSize w:val="1"/>
      <w:tblCellMar>
        <w:left w:w="115" w:type="dxa"/>
        <w:right w:w="115" w:type="dxa"/>
      </w:tblCellMar>
    </w:tblPr>
  </w:style>
  <w:style w:type="table" w:customStyle="1" w:styleId="af0">
    <w:basedOn w:val="TableNormal1"/>
    <w:tblPr>
      <w:tblStyleRowBandSize w:val="1"/>
      <w:tblStyleColBandSize w:val="1"/>
      <w:tblCellMar>
        <w:left w:w="115" w:type="dxa"/>
        <w:right w:w="115" w:type="dxa"/>
      </w:tblCellMar>
    </w:tblPr>
  </w:style>
  <w:style w:type="table" w:customStyle="1" w:styleId="af1">
    <w:basedOn w:val="TableNormal1"/>
    <w:tblPr>
      <w:tblStyleRowBandSize w:val="1"/>
      <w:tblStyleColBandSize w:val="1"/>
      <w:tblCellMar>
        <w:left w:w="115" w:type="dxa"/>
        <w:right w:w="115" w:type="dxa"/>
      </w:tblCellMar>
    </w:tblPr>
  </w:style>
  <w:style w:type="table" w:customStyle="1" w:styleId="af2">
    <w:basedOn w:val="TableNormal1"/>
    <w:tblPr>
      <w:tblStyleRowBandSize w:val="1"/>
      <w:tblStyleColBandSize w:val="1"/>
      <w:tblCellMar>
        <w:left w:w="115" w:type="dxa"/>
        <w:right w:w="115" w:type="dxa"/>
      </w:tblCellMar>
    </w:tblPr>
  </w:style>
  <w:style w:type="table" w:customStyle="1" w:styleId="af3">
    <w:basedOn w:val="TableNormal1"/>
    <w:tblPr>
      <w:tblStyleRowBandSize w:val="1"/>
      <w:tblStyleColBandSize w:val="1"/>
      <w:tblCellMar>
        <w:left w:w="115" w:type="dxa"/>
        <w:right w:w="115" w:type="dxa"/>
      </w:tblCellMar>
    </w:tblPr>
  </w:style>
  <w:style w:type="table" w:customStyle="1" w:styleId="af4">
    <w:basedOn w:val="TableNormal1"/>
    <w:tblPr>
      <w:tblStyleRowBandSize w:val="1"/>
      <w:tblStyleColBandSize w:val="1"/>
      <w:tblCellMar>
        <w:left w:w="115" w:type="dxa"/>
        <w:right w:w="115" w:type="dxa"/>
      </w:tblCellMar>
    </w:tblPr>
  </w:style>
  <w:style w:type="table" w:customStyle="1" w:styleId="af5">
    <w:basedOn w:val="TableNormal1"/>
    <w:tblPr>
      <w:tblStyleRowBandSize w:val="1"/>
      <w:tblStyleColBandSize w:val="1"/>
      <w:tblCellMar>
        <w:left w:w="115" w:type="dxa"/>
        <w:right w:w="115" w:type="dxa"/>
      </w:tblCellMar>
    </w:tblPr>
  </w:style>
  <w:style w:type="table" w:customStyle="1" w:styleId="af6">
    <w:basedOn w:val="TableNormal1"/>
    <w:tblPr>
      <w:tblStyleRowBandSize w:val="1"/>
      <w:tblStyleColBandSize w:val="1"/>
      <w:tblCellMar>
        <w:left w:w="115" w:type="dxa"/>
        <w:right w:w="115" w:type="dxa"/>
      </w:tblCellMar>
    </w:tblPr>
  </w:style>
  <w:style w:type="table" w:customStyle="1" w:styleId="af7">
    <w:basedOn w:val="TableNormal1"/>
    <w:tblPr>
      <w:tblStyleRowBandSize w:val="1"/>
      <w:tblStyleColBandSize w:val="1"/>
      <w:tblCellMar>
        <w:left w:w="115" w:type="dxa"/>
        <w:right w:w="115" w:type="dxa"/>
      </w:tblCellMar>
    </w:tblPr>
  </w:style>
  <w:style w:type="table" w:customStyle="1" w:styleId="af8">
    <w:basedOn w:val="TableNormal1"/>
    <w:tblPr>
      <w:tblStyleRowBandSize w:val="1"/>
      <w:tblStyleColBandSize w:val="1"/>
      <w:tblCellMar>
        <w:left w:w="115" w:type="dxa"/>
        <w:right w:w="115" w:type="dxa"/>
      </w:tblCellMar>
    </w:tblPr>
  </w:style>
  <w:style w:type="table" w:customStyle="1" w:styleId="af9">
    <w:basedOn w:val="TableNormal1"/>
    <w:tblPr>
      <w:tblStyleRowBandSize w:val="1"/>
      <w:tblStyleColBandSize w:val="1"/>
      <w:tblCellMar>
        <w:left w:w="115" w:type="dxa"/>
        <w:right w:w="115" w:type="dxa"/>
      </w:tblCellMar>
    </w:tblPr>
  </w:style>
  <w:style w:type="table" w:customStyle="1" w:styleId="afa">
    <w:basedOn w:val="TableNormal1"/>
    <w:tblPr>
      <w:tblStyleRowBandSize w:val="1"/>
      <w:tblStyleColBandSize w:val="1"/>
      <w:tblCellMar>
        <w:left w:w="115" w:type="dxa"/>
        <w:right w:w="115" w:type="dxa"/>
      </w:tblCellMar>
    </w:tblPr>
  </w:style>
  <w:style w:type="table" w:customStyle="1" w:styleId="afb">
    <w:basedOn w:val="TableNormal1"/>
    <w:tblPr>
      <w:tblStyleRowBandSize w:val="1"/>
      <w:tblStyleColBandSize w:val="1"/>
      <w:tblCellMar>
        <w:left w:w="115" w:type="dxa"/>
        <w:right w:w="115" w:type="dxa"/>
      </w:tblCellMar>
    </w:tblPr>
  </w:style>
  <w:style w:type="table" w:customStyle="1" w:styleId="afc">
    <w:basedOn w:val="TableNormal1"/>
    <w:tblPr>
      <w:tblStyleRowBandSize w:val="1"/>
      <w:tblStyleColBandSize w:val="1"/>
      <w:tblCellMar>
        <w:left w:w="115" w:type="dxa"/>
        <w:right w:w="115" w:type="dxa"/>
      </w:tblCellMar>
    </w:tblPr>
  </w:style>
  <w:style w:type="table" w:customStyle="1" w:styleId="afd">
    <w:basedOn w:val="TableNormal1"/>
    <w:tblPr>
      <w:tblStyleRowBandSize w:val="1"/>
      <w:tblStyleColBandSize w:val="1"/>
      <w:tblCellMar>
        <w:left w:w="115" w:type="dxa"/>
        <w:right w:w="115" w:type="dxa"/>
      </w:tblCellMar>
    </w:tblPr>
  </w:style>
  <w:style w:type="table" w:customStyle="1" w:styleId="afe">
    <w:basedOn w:val="TableNormal1"/>
    <w:tblPr>
      <w:tblStyleRowBandSize w:val="1"/>
      <w:tblStyleColBandSize w:val="1"/>
      <w:tblCellMar>
        <w:left w:w="115" w:type="dxa"/>
        <w:right w:w="115" w:type="dxa"/>
      </w:tblCellMar>
    </w:tblPr>
  </w:style>
  <w:style w:type="table" w:customStyle="1" w:styleId="aff">
    <w:basedOn w:val="TableNormal1"/>
    <w:tblPr>
      <w:tblStyleRowBandSize w:val="1"/>
      <w:tblStyleColBandSize w:val="1"/>
      <w:tblCellMar>
        <w:left w:w="115" w:type="dxa"/>
        <w:right w:w="115" w:type="dxa"/>
      </w:tblCellMar>
    </w:tblPr>
  </w:style>
  <w:style w:type="table" w:customStyle="1" w:styleId="aff0">
    <w:basedOn w:val="TableNormal1"/>
    <w:tblPr>
      <w:tblStyleRowBandSize w:val="1"/>
      <w:tblStyleColBandSize w:val="1"/>
      <w:tblCellMar>
        <w:left w:w="115" w:type="dxa"/>
        <w:right w:w="115" w:type="dxa"/>
      </w:tblCellMar>
    </w:tblPr>
  </w:style>
  <w:style w:type="table" w:customStyle="1" w:styleId="aff1">
    <w:basedOn w:val="TableNormal1"/>
    <w:tblPr>
      <w:tblStyleRowBandSize w:val="1"/>
      <w:tblStyleColBandSize w:val="1"/>
      <w:tblCellMar>
        <w:left w:w="115" w:type="dxa"/>
        <w:right w:w="115" w:type="dxa"/>
      </w:tblCellMar>
    </w:tblPr>
  </w:style>
  <w:style w:type="table" w:customStyle="1" w:styleId="aff2">
    <w:basedOn w:val="TableNormal1"/>
    <w:tblPr>
      <w:tblStyleRowBandSize w:val="1"/>
      <w:tblStyleColBandSize w:val="1"/>
      <w:tblCellMar>
        <w:left w:w="115" w:type="dxa"/>
        <w:right w:w="115" w:type="dxa"/>
      </w:tblCellMar>
    </w:tblPr>
  </w:style>
  <w:style w:type="table" w:customStyle="1" w:styleId="aff3">
    <w:basedOn w:val="TableNormal1"/>
    <w:tblPr>
      <w:tblStyleRowBandSize w:val="1"/>
      <w:tblStyleColBandSize w:val="1"/>
      <w:tblCellMar>
        <w:left w:w="115" w:type="dxa"/>
        <w:right w:w="115" w:type="dxa"/>
      </w:tblCellMar>
    </w:tblPr>
  </w:style>
  <w:style w:type="table" w:customStyle="1" w:styleId="aff4">
    <w:basedOn w:val="TableNormal1"/>
    <w:tblPr>
      <w:tblStyleRowBandSize w:val="1"/>
      <w:tblStyleColBandSize w:val="1"/>
      <w:tblCellMar>
        <w:left w:w="115" w:type="dxa"/>
        <w:right w:w="115" w:type="dxa"/>
      </w:tblCellMar>
    </w:tblPr>
  </w:style>
  <w:style w:type="table" w:customStyle="1" w:styleId="aff5">
    <w:basedOn w:val="TableNormal1"/>
    <w:tblPr>
      <w:tblStyleRowBandSize w:val="1"/>
      <w:tblStyleColBandSize w:val="1"/>
      <w:tblCellMar>
        <w:left w:w="115" w:type="dxa"/>
        <w:right w:w="115" w:type="dxa"/>
      </w:tblCellMar>
    </w:tblPr>
  </w:style>
  <w:style w:type="table" w:customStyle="1" w:styleId="aff6">
    <w:basedOn w:val="TableNormal1"/>
    <w:tblPr>
      <w:tblStyleRowBandSize w:val="1"/>
      <w:tblStyleColBandSize w:val="1"/>
      <w:tblCellMar>
        <w:left w:w="115" w:type="dxa"/>
        <w:right w:w="115" w:type="dxa"/>
      </w:tblCellMar>
    </w:tblPr>
  </w:style>
  <w:style w:type="table" w:customStyle="1" w:styleId="aff7">
    <w:basedOn w:val="TableNormal1"/>
    <w:tblPr>
      <w:tblStyleRowBandSize w:val="1"/>
      <w:tblStyleColBandSize w:val="1"/>
      <w:tblCellMar>
        <w:left w:w="115" w:type="dxa"/>
        <w:right w:w="115" w:type="dxa"/>
      </w:tblCellMar>
    </w:tblPr>
  </w:style>
  <w:style w:type="table" w:customStyle="1" w:styleId="aff8">
    <w:basedOn w:val="TableNormal1"/>
    <w:tblPr>
      <w:tblStyleRowBandSize w:val="1"/>
      <w:tblStyleColBandSize w:val="1"/>
      <w:tblCellMar>
        <w:left w:w="115" w:type="dxa"/>
        <w:right w:w="115" w:type="dxa"/>
      </w:tblCellMar>
    </w:tblPr>
  </w:style>
  <w:style w:type="table" w:customStyle="1" w:styleId="aff9">
    <w:basedOn w:val="TableNormal1"/>
    <w:tblPr>
      <w:tblStyleRowBandSize w:val="1"/>
      <w:tblStyleColBandSize w:val="1"/>
      <w:tblCellMar>
        <w:left w:w="115" w:type="dxa"/>
        <w:right w:w="115" w:type="dxa"/>
      </w:tblCellMar>
    </w:tblPr>
  </w:style>
  <w:style w:type="table" w:customStyle="1" w:styleId="affa">
    <w:basedOn w:val="TableNormal1"/>
    <w:tblPr>
      <w:tblStyleRowBandSize w:val="1"/>
      <w:tblStyleColBandSize w:val="1"/>
      <w:tblCellMar>
        <w:left w:w="115" w:type="dxa"/>
        <w:right w:w="115" w:type="dxa"/>
      </w:tblCellMar>
    </w:tblPr>
  </w:style>
  <w:style w:type="table" w:customStyle="1" w:styleId="affb">
    <w:basedOn w:val="TableNormal1"/>
    <w:tblPr>
      <w:tblStyleRowBandSize w:val="1"/>
      <w:tblStyleColBandSize w:val="1"/>
      <w:tblCellMar>
        <w:left w:w="115" w:type="dxa"/>
        <w:right w:w="115" w:type="dxa"/>
      </w:tblCellMar>
    </w:tblPr>
  </w:style>
  <w:style w:type="table" w:customStyle="1" w:styleId="affc">
    <w:basedOn w:val="TableNormal1"/>
    <w:tblPr>
      <w:tblStyleRowBandSize w:val="1"/>
      <w:tblStyleColBandSize w:val="1"/>
      <w:tblCellMar>
        <w:left w:w="115" w:type="dxa"/>
        <w:right w:w="115" w:type="dxa"/>
      </w:tblCellMar>
    </w:tblPr>
  </w:style>
  <w:style w:type="table" w:customStyle="1" w:styleId="affd">
    <w:basedOn w:val="TableNormal1"/>
    <w:tblPr>
      <w:tblStyleRowBandSize w:val="1"/>
      <w:tblStyleColBandSize w:val="1"/>
      <w:tblCellMar>
        <w:left w:w="115" w:type="dxa"/>
        <w:right w:w="115" w:type="dxa"/>
      </w:tblCellMar>
    </w:tblPr>
  </w:style>
  <w:style w:type="table" w:customStyle="1" w:styleId="affe">
    <w:basedOn w:val="TableNormal1"/>
    <w:tblPr>
      <w:tblStyleRowBandSize w:val="1"/>
      <w:tblStyleColBandSize w:val="1"/>
      <w:tblCellMar>
        <w:left w:w="115" w:type="dxa"/>
        <w:right w:w="115" w:type="dxa"/>
      </w:tblCellMar>
    </w:tblPr>
  </w:style>
  <w:style w:type="table" w:customStyle="1" w:styleId="afff">
    <w:basedOn w:val="TableNormal1"/>
    <w:tblPr>
      <w:tblStyleRowBandSize w:val="1"/>
      <w:tblStyleColBandSize w:val="1"/>
      <w:tblCellMar>
        <w:left w:w="115" w:type="dxa"/>
        <w:right w:w="115" w:type="dxa"/>
      </w:tblCellMar>
    </w:tblPr>
  </w:style>
  <w:style w:type="table" w:customStyle="1" w:styleId="afff0">
    <w:basedOn w:val="TableNormal1"/>
    <w:tblPr>
      <w:tblStyleRowBandSize w:val="1"/>
      <w:tblStyleColBandSize w:val="1"/>
      <w:tblCellMar>
        <w:left w:w="115" w:type="dxa"/>
        <w:right w:w="115" w:type="dxa"/>
      </w:tblCellMar>
    </w:tblPr>
  </w:style>
  <w:style w:type="table" w:customStyle="1" w:styleId="afff1">
    <w:basedOn w:val="TableNormal1"/>
    <w:tblPr>
      <w:tblStyleRowBandSize w:val="1"/>
      <w:tblStyleColBandSize w:val="1"/>
      <w:tblCellMar>
        <w:left w:w="115" w:type="dxa"/>
        <w:right w:w="115" w:type="dxa"/>
      </w:tblCellMar>
    </w:tblPr>
  </w:style>
  <w:style w:type="table" w:customStyle="1" w:styleId="afff2">
    <w:basedOn w:val="TableNormal1"/>
    <w:tblPr>
      <w:tblStyleRowBandSize w:val="1"/>
      <w:tblStyleColBandSize w:val="1"/>
      <w:tblCellMar>
        <w:left w:w="115" w:type="dxa"/>
        <w:right w:w="115" w:type="dxa"/>
      </w:tblCellMar>
    </w:tblPr>
  </w:style>
  <w:style w:type="table" w:customStyle="1" w:styleId="afff3">
    <w:basedOn w:val="TableNormal1"/>
    <w:tblPr>
      <w:tblStyleRowBandSize w:val="1"/>
      <w:tblStyleColBandSize w:val="1"/>
      <w:tblCellMar>
        <w:left w:w="115" w:type="dxa"/>
        <w:right w:w="115" w:type="dxa"/>
      </w:tblCellMar>
    </w:tblPr>
  </w:style>
  <w:style w:type="table" w:customStyle="1" w:styleId="afff4">
    <w:basedOn w:val="TableNormal1"/>
    <w:tblPr>
      <w:tblStyleRowBandSize w:val="1"/>
      <w:tblStyleColBandSize w:val="1"/>
      <w:tblCellMar>
        <w:left w:w="115" w:type="dxa"/>
        <w:right w:w="115" w:type="dxa"/>
      </w:tblCellMar>
    </w:tbl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left w:w="115" w:type="dxa"/>
        <w:right w:w="115" w:type="dxa"/>
      </w:tblCellMar>
    </w:tblPr>
  </w:style>
  <w:style w:type="table" w:customStyle="1" w:styleId="affffc">
    <w:basedOn w:val="TableNormal1"/>
    <w:tblPr>
      <w:tblStyleRowBandSize w:val="1"/>
      <w:tblStyleColBandSize w:val="1"/>
      <w:tblCellMar>
        <w:left w:w="115" w:type="dxa"/>
        <w:right w:w="115" w:type="dxa"/>
      </w:tblCellMar>
    </w:tblPr>
  </w:style>
  <w:style w:type="table" w:customStyle="1" w:styleId="affffd">
    <w:basedOn w:val="TableNormal1"/>
    <w:tblPr>
      <w:tblStyleRowBandSize w:val="1"/>
      <w:tblStyleColBandSize w:val="1"/>
      <w:tblCellMar>
        <w:left w:w="115" w:type="dxa"/>
        <w:right w:w="115" w:type="dxa"/>
      </w:tblCellMar>
    </w:tblPr>
  </w:style>
  <w:style w:type="table" w:customStyle="1" w:styleId="affffe">
    <w:basedOn w:val="TableNormal1"/>
    <w:tblPr>
      <w:tblStyleRowBandSize w:val="1"/>
      <w:tblStyleColBandSize w:val="1"/>
      <w:tblCellMar>
        <w:left w:w="115" w:type="dxa"/>
        <w:right w:w="115" w:type="dxa"/>
      </w:tblCellMar>
    </w:tblPr>
  </w:style>
  <w:style w:type="table" w:customStyle="1" w:styleId="afffff">
    <w:basedOn w:val="TableNormal1"/>
    <w:tblPr>
      <w:tblStyleRowBandSize w:val="1"/>
      <w:tblStyleColBandSize w:val="1"/>
      <w:tblCellMar>
        <w:left w:w="115" w:type="dxa"/>
        <w:right w:w="115" w:type="dxa"/>
      </w:tblCellMar>
    </w:tblPr>
  </w:style>
  <w:style w:type="table" w:customStyle="1" w:styleId="afffff0">
    <w:basedOn w:val="TableNormal1"/>
    <w:tblPr>
      <w:tblStyleRowBandSize w:val="1"/>
      <w:tblStyleColBandSize w:val="1"/>
      <w:tblCellMar>
        <w:left w:w="115" w:type="dxa"/>
        <w:right w:w="115" w:type="dxa"/>
      </w:tblCellMar>
    </w:tblPr>
  </w:style>
  <w:style w:type="table" w:customStyle="1" w:styleId="afffff1">
    <w:basedOn w:val="TableNormal1"/>
    <w:tblPr>
      <w:tblStyleRowBandSize w:val="1"/>
      <w:tblStyleColBandSize w:val="1"/>
      <w:tblCellMar>
        <w:left w:w="115" w:type="dxa"/>
        <w:right w:w="115" w:type="dxa"/>
      </w:tblCellMar>
    </w:tblPr>
  </w:style>
  <w:style w:type="table" w:customStyle="1" w:styleId="afffff2">
    <w:basedOn w:val="TableNormal1"/>
    <w:tblPr>
      <w:tblStyleRowBandSize w:val="1"/>
      <w:tblStyleColBandSize w:val="1"/>
      <w:tblCellMar>
        <w:left w:w="115" w:type="dxa"/>
        <w:right w:w="115" w:type="dxa"/>
      </w:tblCellMar>
    </w:tblPr>
  </w:style>
  <w:style w:type="table" w:customStyle="1" w:styleId="afffff3">
    <w:basedOn w:val="TableNormal1"/>
    <w:tblPr>
      <w:tblStyleRowBandSize w:val="1"/>
      <w:tblStyleColBandSize w:val="1"/>
      <w:tblCellMar>
        <w:left w:w="115" w:type="dxa"/>
        <w:right w:w="115" w:type="dxa"/>
      </w:tblCellMar>
    </w:tblPr>
  </w:style>
  <w:style w:type="table" w:customStyle="1" w:styleId="afffff4">
    <w:basedOn w:val="TableNormal1"/>
    <w:tblPr>
      <w:tblStyleRowBandSize w:val="1"/>
      <w:tblStyleColBandSize w:val="1"/>
      <w:tblCellMar>
        <w:left w:w="115" w:type="dxa"/>
        <w:right w:w="115" w:type="dxa"/>
      </w:tblCellMar>
    </w:tblPr>
  </w:style>
  <w:style w:type="table" w:customStyle="1" w:styleId="afffff5">
    <w:basedOn w:val="TableNormal1"/>
    <w:tblPr>
      <w:tblStyleRowBandSize w:val="1"/>
      <w:tblStyleColBandSize w:val="1"/>
      <w:tblCellMar>
        <w:left w:w="115" w:type="dxa"/>
        <w:right w:w="115" w:type="dxa"/>
      </w:tblCellMar>
    </w:tblPr>
  </w:style>
  <w:style w:type="table" w:customStyle="1" w:styleId="afffff6">
    <w:basedOn w:val="TableNormal1"/>
    <w:tblPr>
      <w:tblStyleRowBandSize w:val="1"/>
      <w:tblStyleColBandSize w:val="1"/>
      <w:tblCellMar>
        <w:left w:w="115" w:type="dxa"/>
        <w:right w:w="115" w:type="dxa"/>
      </w:tblCellMar>
    </w:tblPr>
  </w:style>
  <w:style w:type="table" w:customStyle="1" w:styleId="afffff7">
    <w:basedOn w:val="TableNormal1"/>
    <w:tblPr>
      <w:tblStyleRowBandSize w:val="1"/>
      <w:tblStyleColBandSize w:val="1"/>
      <w:tblCellMar>
        <w:left w:w="115" w:type="dxa"/>
        <w:right w:w="115" w:type="dxa"/>
      </w:tblCellMar>
    </w:tblPr>
  </w:style>
  <w:style w:type="table" w:customStyle="1" w:styleId="afffff8">
    <w:basedOn w:val="TableNormal1"/>
    <w:tblPr>
      <w:tblStyleRowBandSize w:val="1"/>
      <w:tblStyleColBandSize w:val="1"/>
      <w:tblCellMar>
        <w:left w:w="115" w:type="dxa"/>
        <w:right w:w="115" w:type="dxa"/>
      </w:tblCellMar>
    </w:tblPr>
  </w:style>
  <w:style w:type="table" w:customStyle="1" w:styleId="afffff9">
    <w:basedOn w:val="TableNormal1"/>
    <w:tblPr>
      <w:tblStyleRowBandSize w:val="1"/>
      <w:tblStyleColBandSize w:val="1"/>
      <w:tblCellMar>
        <w:left w:w="115" w:type="dxa"/>
        <w:right w:w="115" w:type="dxa"/>
      </w:tblCellMar>
    </w:tblPr>
  </w:style>
  <w:style w:type="table" w:customStyle="1" w:styleId="afffffa">
    <w:basedOn w:val="TableNormal1"/>
    <w:tblPr>
      <w:tblStyleRowBandSize w:val="1"/>
      <w:tblStyleColBandSize w:val="1"/>
      <w:tblCellMar>
        <w:left w:w="115" w:type="dxa"/>
        <w:right w:w="115" w:type="dxa"/>
      </w:tblCellMar>
    </w:tblPr>
  </w:style>
  <w:style w:type="table" w:customStyle="1" w:styleId="afffffb">
    <w:basedOn w:val="TableNormal1"/>
    <w:tblPr>
      <w:tblStyleRowBandSize w:val="1"/>
      <w:tblStyleColBandSize w:val="1"/>
      <w:tblCellMar>
        <w:left w:w="115" w:type="dxa"/>
        <w:right w:w="115" w:type="dxa"/>
      </w:tblCellMar>
    </w:tblPr>
  </w:style>
  <w:style w:type="table" w:customStyle="1" w:styleId="afffffc">
    <w:basedOn w:val="TableNormal1"/>
    <w:tblPr>
      <w:tblStyleRowBandSize w:val="1"/>
      <w:tblStyleColBandSize w:val="1"/>
      <w:tblCellMar>
        <w:left w:w="115" w:type="dxa"/>
        <w:right w:w="115" w:type="dxa"/>
      </w:tblCellMar>
    </w:tblPr>
  </w:style>
  <w:style w:type="character" w:styleId="afffffd">
    <w:name w:val="annotation reference"/>
    <w:basedOn w:val="a0"/>
    <w:uiPriority w:val="99"/>
    <w:semiHidden/>
    <w:unhideWhenUsed/>
    <w:rsid w:val="005E3319"/>
    <w:rPr>
      <w:sz w:val="18"/>
      <w:szCs w:val="18"/>
    </w:rPr>
  </w:style>
  <w:style w:type="paragraph" w:styleId="afffffe">
    <w:name w:val="annotation text"/>
    <w:basedOn w:val="a"/>
    <w:link w:val="affffff"/>
    <w:uiPriority w:val="99"/>
    <w:semiHidden/>
    <w:unhideWhenUsed/>
    <w:rsid w:val="005E3319"/>
  </w:style>
  <w:style w:type="character" w:customStyle="1" w:styleId="affffff">
    <w:name w:val="コメント文字列 (文字)"/>
    <w:basedOn w:val="a0"/>
    <w:link w:val="afffffe"/>
    <w:uiPriority w:val="99"/>
    <w:semiHidden/>
    <w:rsid w:val="005E3319"/>
    <w:rPr>
      <w:lang w:eastAsia="en-US"/>
    </w:rPr>
  </w:style>
  <w:style w:type="paragraph" w:styleId="affffff0">
    <w:name w:val="annotation subject"/>
    <w:basedOn w:val="afffffe"/>
    <w:next w:val="afffffe"/>
    <w:link w:val="affffff1"/>
    <w:uiPriority w:val="99"/>
    <w:semiHidden/>
    <w:unhideWhenUsed/>
    <w:rsid w:val="005E3319"/>
    <w:rPr>
      <w:b/>
      <w:bCs/>
    </w:rPr>
  </w:style>
  <w:style w:type="character" w:customStyle="1" w:styleId="affffff1">
    <w:name w:val="コメント内容 (文字)"/>
    <w:basedOn w:val="affffff"/>
    <w:link w:val="affffff0"/>
    <w:uiPriority w:val="99"/>
    <w:semiHidden/>
    <w:rsid w:val="005E3319"/>
    <w:rPr>
      <w:b/>
      <w:bCs/>
      <w:lang w:eastAsia="en-US"/>
    </w:rPr>
  </w:style>
  <w:style w:type="paragraph" w:styleId="affffff2">
    <w:name w:val="Revision"/>
    <w:hidden/>
    <w:uiPriority w:val="99"/>
    <w:semiHidden/>
    <w:rsid w:val="005C0374"/>
    <w:rPr>
      <w:lang w:eastAsia="en-US"/>
    </w:rPr>
  </w:style>
  <w:style w:type="paragraph" w:styleId="affffff3">
    <w:name w:val="Balloon Text"/>
    <w:basedOn w:val="a"/>
    <w:link w:val="affffff4"/>
    <w:uiPriority w:val="99"/>
    <w:semiHidden/>
    <w:unhideWhenUsed/>
    <w:rsid w:val="005C0374"/>
    <w:rPr>
      <w:rFonts w:asciiTheme="majorHAnsi" w:eastAsiaTheme="majorEastAsia" w:hAnsiTheme="majorHAnsi" w:cstheme="majorBidi"/>
      <w:sz w:val="18"/>
      <w:szCs w:val="18"/>
    </w:rPr>
  </w:style>
  <w:style w:type="character" w:customStyle="1" w:styleId="affffff4">
    <w:name w:val="吹き出し (文字)"/>
    <w:basedOn w:val="a0"/>
    <w:link w:val="affffff3"/>
    <w:uiPriority w:val="99"/>
    <w:semiHidden/>
    <w:rsid w:val="005C0374"/>
    <w:rPr>
      <w:rFonts w:asciiTheme="majorHAnsi" w:eastAsiaTheme="majorEastAsia" w:hAnsiTheme="majorHAnsi" w:cstheme="majorBidi"/>
      <w:sz w:val="18"/>
      <w:szCs w:val="18"/>
      <w:lang w:eastAsia="en-US"/>
    </w:rPr>
  </w:style>
  <w:style w:type="paragraph" w:styleId="affffff5">
    <w:name w:val="header"/>
    <w:basedOn w:val="a"/>
    <w:link w:val="affffff6"/>
    <w:uiPriority w:val="99"/>
    <w:unhideWhenUsed/>
    <w:rsid w:val="00F92154"/>
    <w:pPr>
      <w:tabs>
        <w:tab w:val="center" w:pos="4252"/>
        <w:tab w:val="right" w:pos="8504"/>
      </w:tabs>
      <w:snapToGrid w:val="0"/>
    </w:pPr>
  </w:style>
  <w:style w:type="character" w:customStyle="1" w:styleId="affffff6">
    <w:name w:val="ヘッダー (文字)"/>
    <w:basedOn w:val="a0"/>
    <w:link w:val="affffff5"/>
    <w:uiPriority w:val="99"/>
    <w:rsid w:val="00F92154"/>
    <w:rPr>
      <w:lang w:eastAsia="en-US"/>
    </w:rPr>
  </w:style>
  <w:style w:type="paragraph" w:styleId="affffff7">
    <w:name w:val="footer"/>
    <w:basedOn w:val="a"/>
    <w:link w:val="affffff8"/>
    <w:uiPriority w:val="99"/>
    <w:unhideWhenUsed/>
    <w:rsid w:val="00F92154"/>
    <w:pPr>
      <w:tabs>
        <w:tab w:val="center" w:pos="4252"/>
        <w:tab w:val="right" w:pos="8504"/>
      </w:tabs>
      <w:snapToGrid w:val="0"/>
    </w:pPr>
  </w:style>
  <w:style w:type="character" w:customStyle="1" w:styleId="affffff8">
    <w:name w:val="フッター (文字)"/>
    <w:basedOn w:val="a0"/>
    <w:link w:val="affffff7"/>
    <w:uiPriority w:val="99"/>
    <w:rsid w:val="00F92154"/>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8558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Helvetica Neue"/>
        <a:ea typeface="ＭＳ ゴシック"/>
        <a:cs typeface="Helvetica Neue"/>
      </a:majorFont>
      <a:minorFont>
        <a:latin typeface="Helvetica Neue"/>
        <a:ea typeface="ＭＳ 明朝"/>
        <a:cs typeface="Helvetica Neue"/>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5LO1tPJl5huAprGTSZQ9W0Eszw==">AMUW2mU6+JXLOONEL0p5quCGjSENFM8o9NespiLOUWTDIEkrd0adKDgsk+aRbkxKCqliQeJZre6KbmAIp1t05gxskBsKadNqV5IS069v9YFCOS0kxJ3uswp84PhlbDo8y3Hh/dDwVzd0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363</Words>
  <Characters>2074</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2022-11-08T11:25:00Z</dcterms:created>
  <dcterms:modified xsi:type="dcterms:W3CDTF">2022-11-08T11:25:00Z</dcterms:modified>
</cp:coreProperties>
</file>