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68F06"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b/>
          <w:sz w:val="22"/>
          <w:szCs w:val="22"/>
          <w:lang w:eastAsia="ja-JP"/>
        </w:rPr>
      </w:pPr>
      <w:r>
        <w:rPr>
          <w:rFonts w:ascii="Meiryo UI" w:eastAsia="Meiryo UI" w:hAnsi="Meiryo UI" w:cs="Century" w:hint="eastAsia"/>
          <w:b/>
          <w:color w:val="000000"/>
          <w:sz w:val="22"/>
          <w:szCs w:val="22"/>
          <w:lang w:eastAsia="ja-JP"/>
        </w:rPr>
        <w:t>宝徳山稲荷大社</w:t>
      </w:r>
    </w:p>
    <w:p w14:paraId="03098A7D"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20127E75"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この堂々とした神社は、長岡市中心部の外れにある丘の中腹から遠くに見ることができます。 黒い切妻屋根と朱色と白の特徴が森の上にそびえ立っています。</w:t>
      </w:r>
    </w:p>
    <w:p w14:paraId="008A05F5"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4A133C01"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宝徳山稲荷大社は、この種の神社でよく見られる木ではなく、主にコンクリートで作られています。 コンクリートは、地震や日本のこの地域の厳しい冬の条件から神社を保護します。</w:t>
      </w:r>
    </w:p>
    <w:p w14:paraId="5EF1CE73"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7D8A0025"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神社には2つの複合施設があります。 下の複合体は2つのうち大きい方で、丘の中腹の約半分に位置しています。 2つ目の、少し小さい複合施設が丘の頂上にありますが、地元のお祭りのために年に2回だけ使われています。 神社では毎年5万から6万本の赤いろうそくを主な儀式として使用する夜まつりと呼ばれる夜祭り（ナイトフェスティバル）が開催されます。</w:t>
      </w:r>
    </w:p>
    <w:p w14:paraId="32347AA3"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225187F9"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丘の上の複合施設の隣には小さな石の神社があります。これは宝徳山稲荷大社の最も古くから残っている部分です。この石の神社の正確な年代は、最も古い遺跡の記録である約1,500年前よりも古いため不明です。紀元前</w:t>
      </w:r>
      <w:r>
        <w:rPr>
          <w:rFonts w:ascii="Meiryo UI" w:eastAsia="Meiryo UI" w:hAnsi="Meiryo UI" w:cs="Century" w:hint="eastAsia"/>
          <w:sz w:val="22"/>
          <w:szCs w:val="22"/>
          <w:lang w:eastAsia="ja-JP"/>
        </w:rPr>
        <w:t>9</w:t>
      </w:r>
      <w:r>
        <w:rPr>
          <w:rFonts w:ascii="Meiryo UI" w:eastAsia="Meiryo UI" w:hAnsi="Meiryo UI" w:cs="Century" w:hint="eastAsia"/>
          <w:color w:val="000000"/>
          <w:sz w:val="22"/>
          <w:szCs w:val="22"/>
          <w:lang w:eastAsia="ja-JP"/>
        </w:rPr>
        <w:t>00年に終わった縄文時代後期にさかのぼると推測する人もいますが、これはまだ裏付けられていません。</w:t>
      </w:r>
    </w:p>
    <w:p w14:paraId="2CDA1D3F"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46A0BFCB"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hint="eastAsia"/>
          <w:color w:val="000000"/>
          <w:lang w:eastAsia="ja-JP"/>
        </w:rPr>
      </w:pPr>
      <w:r>
        <w:rPr>
          <w:rFonts w:ascii="Meiryo UI" w:eastAsia="Meiryo UI" w:hAnsi="Meiryo UI" w:cs="Century" w:hint="eastAsia"/>
          <w:color w:val="000000"/>
          <w:sz w:val="22"/>
          <w:szCs w:val="22"/>
          <w:lang w:eastAsia="ja-JP"/>
        </w:rPr>
        <w:t>下り坂の本殿入口には、6月下旬から7月上旬にかけて、縄で縛られた大きな輪っかのような形をした鳥居があります。神社の建物に正しく入るには、人はリングを通って入り、次に「図8」の動きで出たり戻ったりする必要があります。入り口の横にあるイラスト入りのガイドは、これを行う方法を示しています。建物に入るときは靴を脱ぐことを忘れないでください。</w:t>
      </w:r>
    </w:p>
    <w:p w14:paraId="1FEABAA5"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hint="eastAsia"/>
          <w:color w:val="000000"/>
          <w:lang w:eastAsia="ja-JP"/>
        </w:rPr>
      </w:pPr>
    </w:p>
    <w:p w14:paraId="0B071500"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中に入ると、自分自身と彼らの愛する人に祝福と幸運をもたらすために、訪問者は神社の特別な祈りの儀式に従って祈ることをお勧めされます。儀式では、2セットの色のキャンドルに火を灯し、正しい順序で2つの異なる祭壇に置きます。</w:t>
      </w:r>
    </w:p>
    <w:p w14:paraId="29BD584C"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5FF13765"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左から右へ、色の順序は緑、赤、黄、白、紫です。 それぞれのキャンドルは、日常生活のさまざまな部分に影響を与えると言われています。</w:t>
      </w:r>
    </w:p>
    <w:p w14:paraId="43E70B16"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11A12C54"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緑は健康と幸福、そして学術研究の成功を表しています。</w:t>
      </w:r>
    </w:p>
    <w:p w14:paraId="6F2E441E"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5CF8162D"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赤は、ビジネスの運営と一般的なお金の運の両方の観点から、経済的な成功を表しています。</w:t>
      </w:r>
    </w:p>
    <w:p w14:paraId="3477B01D"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6EAC145C"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黄色は、地震、嵐、洪水などの自然災害に対する保護を提供します。</w:t>
      </w:r>
    </w:p>
    <w:p w14:paraId="5A9606BB"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488D10C5"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白は家を守り、健康で幸せな状態を保ちます。</w:t>
      </w:r>
    </w:p>
    <w:p w14:paraId="66C9316D"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4F7A16F6"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最後に、しかしおそらくこの中で最も重要なのは、紫が精神的な健康を守ることです。</w:t>
      </w:r>
    </w:p>
    <w:p w14:paraId="19CFB895"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50E8DE1B"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（儀式は）最初の祭壇に近づくことから始めます。 緑のろうそくに火をつけて、左側に置きます。 他の人のやり方に従って、正しい場所に配置することができるでしょう。</w:t>
      </w:r>
    </w:p>
    <w:p w14:paraId="109D9192"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07E646C3"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次に、赤いろうそくを取り、緑のろうそくの炎を使って火をつけます。 そしてそのろうそくのすぐ右側に置きます。</w:t>
      </w:r>
    </w:p>
    <w:p w14:paraId="28356D93"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24B965DD"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黄色、白、紫のキャンドルについてこのプロセスをすべてのろうそくが点灯するまで繰り返してから、左から右に並んで祭壇に座ります。</w:t>
      </w:r>
    </w:p>
    <w:p w14:paraId="7785915E"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5A26CB4B"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次に、お辞儀をし、手を2回拍手し、2回目の拍手後に手を合わせたままにします。 静かな祈りを捧げます。 一歩下がって、深くお辞儀をし、2番目の祭壇に移動してプロセスを繰り返します。</w:t>
      </w:r>
    </w:p>
    <w:p w14:paraId="1D51D7BC"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67CE18D1"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この儀式は、宝徳山稲荷大社ならではのものであり、訪れる際の体験に欠かせないものです。 儀式をしたくない人は、神社のさまざまな特徴を観察することができます。</w:t>
      </w:r>
    </w:p>
    <w:p w14:paraId="689AFBBD"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1CB87E7E"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本館の中には、金で飾られた「商売の神」の神社と祭壇があります。 このような神社参拝は、家を買う、結婚する、家族を作るなど、大規模な経済的行為を始めようとしている人々にとっての伝統です。 ここでは、人々は彼らの試みの繁栄を確実にするために、神々からの幸運と祝福を求めています。</w:t>
      </w:r>
    </w:p>
    <w:p w14:paraId="6CD972C6"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6D150F50"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僧侶は一日を通して決められた時間に奉仕を行います。 これらは観察することができます。</w:t>
      </w:r>
    </w:p>
    <w:p w14:paraId="5BF953CA"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07106399"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宝徳山稲荷大社は長岡駅から車で25分のところにあります。 電車でお越しの場合は、長岡駅から信越本線で16分、越後岩塚駅で下車してください。 神社はそこから徒歩10分です。</w:t>
      </w:r>
    </w:p>
    <w:p w14:paraId="1AC997B0"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 xml:space="preserve"> </w:t>
      </w:r>
    </w:p>
    <w:p w14:paraId="42CCE9C5" w14:textId="77777777" w:rsidR="002E233A" w:rsidRDefault="002E233A" w:rsidP="002E233A">
      <w:pPr>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ascii="Meiryo UI" w:eastAsia="Meiryo UI" w:hAnsi="Meiryo UI" w:cs="Century" w:hint="eastAsia"/>
          <w:color w:val="000000"/>
          <w:sz w:val="22"/>
          <w:szCs w:val="22"/>
          <w:lang w:eastAsia="ja-JP"/>
        </w:rPr>
      </w:pPr>
      <w:r>
        <w:rPr>
          <w:rFonts w:ascii="Meiryo UI" w:eastAsia="Meiryo UI" w:hAnsi="Meiryo UI" w:cs="Century" w:hint="eastAsia"/>
          <w:color w:val="000000"/>
          <w:sz w:val="22"/>
          <w:szCs w:val="22"/>
          <w:lang w:eastAsia="ja-JP"/>
        </w:rPr>
        <w:t>神社への入場は無料です。 ただし、販売されている多くの幸運のお守りの1つを購入することで、神社の維持管理に寄付をすることができます。</w:t>
      </w:r>
    </w:p>
    <w:p w14:paraId="0A30A9B2" w14:textId="77777777" w:rsidR="000E21EC" w:rsidRPr="002E233A" w:rsidRDefault="000E21EC" w:rsidP="002E233A"/>
    <w:sectPr w:rsidR="000E21EC" w:rsidRPr="002E233A">
      <w:headerReference w:type="default" r:id="rId8"/>
      <w:pgSz w:w="11900" w:h="16840"/>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FE13E" w14:textId="77777777" w:rsidR="00563F1D" w:rsidRDefault="00563F1D">
      <w:r>
        <w:separator/>
      </w:r>
    </w:p>
  </w:endnote>
  <w:endnote w:type="continuationSeparator" w:id="0">
    <w:p w14:paraId="6E08ABEC" w14:textId="77777777" w:rsidR="00563F1D" w:rsidRDefault="0056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elvetica Neue">
    <w:altName w:val="Arial"/>
    <w:charset w:val="00"/>
    <w:family w:val="auto"/>
    <w:pitch w:val="default"/>
  </w:font>
  <w:font w:name="Arial Unicode MS">
    <w:panose1 w:val="020B0604020202020204"/>
    <w:charset w:val="80"/>
    <w:family w:val="modern"/>
    <w:pitch w:val="variable"/>
    <w:sig w:usb0="F7FFAFFF" w:usb1="E9DFFFFF" w:usb2="0000003F" w:usb3="00000000" w:csb0="003F01FF" w:csb1="00000000"/>
  </w:font>
  <w:font w:name="Georgia">
    <w:altName w:val="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4458F5" w14:textId="77777777" w:rsidR="00563F1D" w:rsidRDefault="00563F1D">
      <w:r>
        <w:separator/>
      </w:r>
    </w:p>
  </w:footnote>
  <w:footnote w:type="continuationSeparator" w:id="0">
    <w:p w14:paraId="24642F5D" w14:textId="77777777" w:rsidR="00563F1D" w:rsidRDefault="0056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2E814" w14:textId="77777777" w:rsidR="005C0374" w:rsidRDefault="005C0374">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8875A0"/>
    <w:multiLevelType w:val="multilevel"/>
    <w:tmpl w:val="868A01B6"/>
    <w:lvl w:ilvl="0">
      <w:start w:val="1"/>
      <w:numFmt w:val="decimal"/>
      <w:lvlText w:val="%1)"/>
      <w:lvlJc w:val="left"/>
      <w:pPr>
        <w:ind w:left="480" w:hanging="72"/>
      </w:pPr>
      <w:rPr>
        <w:smallCaps w:val="0"/>
        <w:strike w:val="0"/>
        <w:shd w:val="clear" w:color="auto" w:fill="auto"/>
        <w:vertAlign w:val="baseline"/>
      </w:rPr>
    </w:lvl>
    <w:lvl w:ilvl="1">
      <w:start w:val="1"/>
      <w:numFmt w:val="decimal"/>
      <w:lvlText w:val="%2."/>
      <w:lvlJc w:val="left"/>
      <w:pPr>
        <w:ind w:left="720" w:hanging="192"/>
      </w:pPr>
      <w:rPr>
        <w:smallCaps w:val="0"/>
        <w:strike w:val="0"/>
        <w:shd w:val="clear" w:color="auto" w:fill="auto"/>
        <w:vertAlign w:val="baseline"/>
      </w:rPr>
    </w:lvl>
    <w:lvl w:ilvl="2">
      <w:start w:val="1"/>
      <w:numFmt w:val="decimal"/>
      <w:lvlText w:val="%2.%3."/>
      <w:lvlJc w:val="left"/>
      <w:pPr>
        <w:ind w:left="1269" w:firstLine="120"/>
      </w:pPr>
      <w:rPr>
        <w:smallCaps w:val="0"/>
        <w:strike w:val="0"/>
        <w:shd w:val="clear" w:color="auto" w:fill="auto"/>
        <w:vertAlign w:val="baseline"/>
      </w:rPr>
    </w:lvl>
    <w:lvl w:ilvl="3">
      <w:start w:val="1"/>
      <w:numFmt w:val="decimal"/>
      <w:lvlText w:val="%2.%3.%4."/>
      <w:lvlJc w:val="left"/>
      <w:pPr>
        <w:ind w:left="1400" w:firstLine="120"/>
      </w:pPr>
      <w:rPr>
        <w:smallCaps w:val="0"/>
        <w:strike w:val="0"/>
        <w:shd w:val="clear" w:color="auto" w:fill="auto"/>
        <w:vertAlign w:val="baseline"/>
      </w:rPr>
    </w:lvl>
    <w:lvl w:ilvl="4">
      <w:start w:val="1"/>
      <w:numFmt w:val="decimal"/>
      <w:lvlText w:val="%2.%3.%4.%5."/>
      <w:lvlJc w:val="left"/>
      <w:pPr>
        <w:ind w:left="2006" w:hanging="312"/>
      </w:pPr>
      <w:rPr>
        <w:smallCaps w:val="0"/>
        <w:strike w:val="0"/>
        <w:shd w:val="clear" w:color="auto" w:fill="auto"/>
        <w:vertAlign w:val="baseline"/>
      </w:rPr>
    </w:lvl>
    <w:lvl w:ilvl="5">
      <w:start w:val="1"/>
      <w:numFmt w:val="decimal"/>
      <w:lvlText w:val="%2.%3.%4.%5.%6."/>
      <w:lvlJc w:val="left"/>
      <w:pPr>
        <w:ind w:left="2037" w:firstLine="120"/>
      </w:pPr>
      <w:rPr>
        <w:smallCaps w:val="0"/>
        <w:strike w:val="0"/>
        <w:shd w:val="clear" w:color="auto" w:fill="auto"/>
        <w:vertAlign w:val="baseline"/>
      </w:rPr>
    </w:lvl>
    <w:lvl w:ilvl="6">
      <w:start w:val="1"/>
      <w:numFmt w:val="decimal"/>
      <w:lvlText w:val="%2.%3.%4.%5.%6.%7."/>
      <w:lvlJc w:val="left"/>
      <w:pPr>
        <w:ind w:left="2743" w:firstLine="120"/>
      </w:pPr>
      <w:rPr>
        <w:smallCaps w:val="0"/>
        <w:strike w:val="0"/>
        <w:shd w:val="clear" w:color="auto" w:fill="auto"/>
        <w:vertAlign w:val="baseline"/>
      </w:rPr>
    </w:lvl>
    <w:lvl w:ilvl="7">
      <w:start w:val="1"/>
      <w:numFmt w:val="decimal"/>
      <w:lvlText w:val="%2.%3.%4.%5.%6.%7.%8."/>
      <w:lvlJc w:val="left"/>
      <w:pPr>
        <w:ind w:left="3051" w:firstLine="120"/>
      </w:pPr>
      <w:rPr>
        <w:smallCaps w:val="0"/>
        <w:strike w:val="0"/>
        <w:shd w:val="clear" w:color="auto" w:fill="auto"/>
        <w:vertAlign w:val="baseline"/>
      </w:rPr>
    </w:lvl>
    <w:lvl w:ilvl="8">
      <w:start w:val="1"/>
      <w:numFmt w:val="decimal"/>
      <w:lvlText w:val="%2.%3.%4.%5.%6.%7.%8.%9."/>
      <w:lvlJc w:val="left"/>
      <w:pPr>
        <w:ind w:left="3480" w:firstLine="120"/>
      </w:pPr>
      <w:rPr>
        <w:smallCaps w:val="0"/>
        <w:strike w:val="0"/>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21EC"/>
    <w:rsid w:val="000C71F7"/>
    <w:rsid w:val="000E21EC"/>
    <w:rsid w:val="00110707"/>
    <w:rsid w:val="001E3AAC"/>
    <w:rsid w:val="002E233A"/>
    <w:rsid w:val="002F0B34"/>
    <w:rsid w:val="0033265E"/>
    <w:rsid w:val="003A039D"/>
    <w:rsid w:val="004E11B7"/>
    <w:rsid w:val="00516E69"/>
    <w:rsid w:val="00563F1D"/>
    <w:rsid w:val="005A074A"/>
    <w:rsid w:val="005C0374"/>
    <w:rsid w:val="005E3319"/>
    <w:rsid w:val="006633D1"/>
    <w:rsid w:val="00764022"/>
    <w:rsid w:val="008F5F66"/>
    <w:rsid w:val="00A15856"/>
    <w:rsid w:val="00C30E1E"/>
    <w:rsid w:val="00C32E43"/>
    <w:rsid w:val="00C54E83"/>
    <w:rsid w:val="00D0078A"/>
    <w:rsid w:val="00EC1C0C"/>
    <w:rsid w:val="00F921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E85E0D5"/>
  <w15:docId w15:val="{D79D2832-7FD9-4869-BD06-159B51DFD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lang w:eastAsia="en-US"/>
    </w:rPr>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styleId="a4">
    <w:name w:val="Hyperlink"/>
    <w:rPr>
      <w:u w:val="single"/>
    </w:rPr>
  </w:style>
  <w:style w:type="table" w:customStyle="1" w:styleId="TableNormal2">
    <w:name w:val="Table Normal"/>
    <w:tblPr>
      <w:tblInd w:w="0" w:type="dxa"/>
      <w:tblCellMar>
        <w:top w:w="0" w:type="dxa"/>
        <w:left w:w="0" w:type="dxa"/>
        <w:bottom w:w="0" w:type="dxa"/>
        <w:right w:w="0" w:type="dxa"/>
      </w:tblCellMar>
    </w:tblPr>
  </w:style>
  <w:style w:type="paragraph" w:customStyle="1" w:styleId="HeaderFooter">
    <w:name w:val="Header &amp; Footer"/>
    <w:pPr>
      <w:tabs>
        <w:tab w:val="right" w:pos="9020"/>
      </w:tabs>
    </w:pPr>
    <w:rPr>
      <w:rFonts w:ascii="Helvetica Neue" w:eastAsia="Arial Unicode MS" w:hAnsi="Helvetica Neue" w:cs="Arial Unicode MS"/>
      <w:color w:val="000000"/>
      <w14:textOutline w14:w="0" w14:cap="flat" w14:cmpd="sng" w14:algn="ctr">
        <w14:noFill/>
        <w14:prstDash w14:val="solid"/>
        <w14:bevel/>
      </w14:textOutline>
    </w:rPr>
  </w:style>
  <w:style w:type="paragraph" w:customStyle="1" w:styleId="BodyA">
    <w:name w:val="Body A"/>
    <w:rPr>
      <w:rFonts w:eastAsia="Arial Unicode MS" w:cs="Arial Unicode MS"/>
      <w:color w:val="000000"/>
      <w:u w:color="000000"/>
      <w:lang w:val="de-DE"/>
      <w14:textOutline w14:w="12700" w14:cap="flat" w14:cmpd="sng" w14:algn="ctr">
        <w14:noFill/>
        <w14:prstDash w14:val="solid"/>
        <w14:miter w14:lim="400000"/>
      </w14:textOutline>
    </w:rPr>
  </w:style>
  <w:style w:type="paragraph" w:customStyle="1" w:styleId="Default">
    <w:name w:val="Default"/>
    <w:pPr>
      <w:spacing w:before="160"/>
    </w:pPr>
    <w:rPr>
      <w:rFonts w:ascii="Helvetica Neue" w:eastAsia="Helvetica Neue" w:hAnsi="Helvetica Neue" w:cs="Helvetica Neue"/>
      <w:color w:val="000000"/>
      <w:u w:color="000000"/>
      <w14:textOutline w14:w="12700" w14:cap="flat" w14:cmpd="sng" w14:algn="ctr">
        <w14:noFill/>
        <w14:prstDash w14:val="solid"/>
        <w14:miter w14:lim="400000"/>
      </w14:textOutline>
    </w:rPr>
  </w:style>
  <w:style w:type="numbering" w:customStyle="1" w:styleId="ImportedStyle1">
    <w:name w:val="Imported Style 1"/>
  </w:style>
  <w:style w:type="paragraph" w:styleId="a5">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6">
    <w:basedOn w:val="TableNormal1"/>
    <w:tblPr>
      <w:tblStyleRowBandSize w:val="1"/>
      <w:tblStyleColBandSize w:val="1"/>
      <w:tblCellMar>
        <w:left w:w="115" w:type="dxa"/>
        <w:right w:w="115" w:type="dxa"/>
      </w:tblCellMar>
    </w:tblPr>
  </w:style>
  <w:style w:type="table" w:customStyle="1" w:styleId="a7">
    <w:basedOn w:val="TableNormal1"/>
    <w:tblPr>
      <w:tblStyleRowBandSize w:val="1"/>
      <w:tblStyleColBandSize w:val="1"/>
      <w:tblCellMar>
        <w:left w:w="115" w:type="dxa"/>
        <w:right w:w="115" w:type="dxa"/>
      </w:tblCellMar>
    </w:tblPr>
  </w:style>
  <w:style w:type="table" w:customStyle="1" w:styleId="a8">
    <w:basedOn w:val="TableNormal1"/>
    <w:tblPr>
      <w:tblStyleRowBandSize w:val="1"/>
      <w:tblStyleColBandSize w:val="1"/>
      <w:tblCellMar>
        <w:left w:w="115" w:type="dxa"/>
        <w:right w:w="115" w:type="dxa"/>
      </w:tblCellMar>
    </w:tblPr>
  </w:style>
  <w:style w:type="table" w:customStyle="1" w:styleId="a9">
    <w:basedOn w:val="TableNormal1"/>
    <w:tblPr>
      <w:tblStyleRowBandSize w:val="1"/>
      <w:tblStyleColBandSize w:val="1"/>
      <w:tblCellMar>
        <w:left w:w="115" w:type="dxa"/>
        <w:right w:w="115" w:type="dxa"/>
      </w:tblCellMar>
    </w:tblPr>
  </w:style>
  <w:style w:type="table" w:customStyle="1" w:styleId="aa">
    <w:basedOn w:val="TableNormal1"/>
    <w:tblPr>
      <w:tblStyleRowBandSize w:val="1"/>
      <w:tblStyleColBandSize w:val="1"/>
      <w:tblCellMar>
        <w:left w:w="115" w:type="dxa"/>
        <w:right w:w="115" w:type="dxa"/>
      </w:tblCellMar>
    </w:tblPr>
  </w:style>
  <w:style w:type="table" w:customStyle="1" w:styleId="ab">
    <w:basedOn w:val="TableNormal1"/>
    <w:tblPr>
      <w:tblStyleRowBandSize w:val="1"/>
      <w:tblStyleColBandSize w:val="1"/>
      <w:tblCellMar>
        <w:left w:w="115" w:type="dxa"/>
        <w:right w:w="115" w:type="dxa"/>
      </w:tblCellMar>
    </w:tblPr>
  </w:style>
  <w:style w:type="table" w:customStyle="1" w:styleId="ac">
    <w:basedOn w:val="TableNormal1"/>
    <w:tblPr>
      <w:tblStyleRowBandSize w:val="1"/>
      <w:tblStyleColBandSize w:val="1"/>
      <w:tblCellMar>
        <w:left w:w="115" w:type="dxa"/>
        <w:right w:w="115" w:type="dxa"/>
      </w:tblCellMar>
    </w:tblPr>
  </w:style>
  <w:style w:type="table" w:customStyle="1" w:styleId="ad">
    <w:basedOn w:val="TableNormal1"/>
    <w:tblPr>
      <w:tblStyleRowBandSize w:val="1"/>
      <w:tblStyleColBandSize w:val="1"/>
      <w:tblCellMar>
        <w:left w:w="115" w:type="dxa"/>
        <w:right w:w="115" w:type="dxa"/>
      </w:tblCellMar>
    </w:tblPr>
  </w:style>
  <w:style w:type="table" w:customStyle="1" w:styleId="ae">
    <w:basedOn w:val="TableNormal1"/>
    <w:tblPr>
      <w:tblStyleRowBandSize w:val="1"/>
      <w:tblStyleColBandSize w:val="1"/>
      <w:tblCellMar>
        <w:left w:w="115" w:type="dxa"/>
        <w:right w:w="115" w:type="dxa"/>
      </w:tblCellMar>
    </w:tblPr>
  </w:style>
  <w:style w:type="table" w:customStyle="1" w:styleId="af">
    <w:basedOn w:val="TableNormal1"/>
    <w:tblPr>
      <w:tblStyleRowBandSize w:val="1"/>
      <w:tblStyleColBandSize w:val="1"/>
      <w:tblCellMar>
        <w:left w:w="115" w:type="dxa"/>
        <w:right w:w="115" w:type="dxa"/>
      </w:tblCellMar>
    </w:tblPr>
  </w:style>
  <w:style w:type="table" w:customStyle="1" w:styleId="af0">
    <w:basedOn w:val="TableNormal1"/>
    <w:tblPr>
      <w:tblStyleRowBandSize w:val="1"/>
      <w:tblStyleColBandSize w:val="1"/>
      <w:tblCellMar>
        <w:left w:w="115" w:type="dxa"/>
        <w:right w:w="115" w:type="dxa"/>
      </w:tblCellMar>
    </w:tblPr>
  </w:style>
  <w:style w:type="table" w:customStyle="1" w:styleId="af1">
    <w:basedOn w:val="TableNormal1"/>
    <w:tblPr>
      <w:tblStyleRowBandSize w:val="1"/>
      <w:tblStyleColBandSize w:val="1"/>
      <w:tblCellMar>
        <w:left w:w="115" w:type="dxa"/>
        <w:right w:w="115" w:type="dxa"/>
      </w:tblCellMar>
    </w:tblPr>
  </w:style>
  <w:style w:type="table" w:customStyle="1" w:styleId="af2">
    <w:basedOn w:val="TableNormal1"/>
    <w:tblPr>
      <w:tblStyleRowBandSize w:val="1"/>
      <w:tblStyleColBandSize w:val="1"/>
      <w:tblCellMar>
        <w:left w:w="115" w:type="dxa"/>
        <w:right w:w="115" w:type="dxa"/>
      </w:tblCellMar>
    </w:tblPr>
  </w:style>
  <w:style w:type="table" w:customStyle="1" w:styleId="af3">
    <w:basedOn w:val="TableNormal1"/>
    <w:tblPr>
      <w:tblStyleRowBandSize w:val="1"/>
      <w:tblStyleColBandSize w:val="1"/>
      <w:tblCellMar>
        <w:left w:w="115" w:type="dxa"/>
        <w:right w:w="115" w:type="dxa"/>
      </w:tblCellMar>
    </w:tblPr>
  </w:style>
  <w:style w:type="table" w:customStyle="1" w:styleId="af4">
    <w:basedOn w:val="TableNormal1"/>
    <w:tblPr>
      <w:tblStyleRowBandSize w:val="1"/>
      <w:tblStyleColBandSize w:val="1"/>
      <w:tblCellMar>
        <w:left w:w="115" w:type="dxa"/>
        <w:right w:w="115" w:type="dxa"/>
      </w:tblCellMar>
    </w:tblPr>
  </w:style>
  <w:style w:type="table" w:customStyle="1" w:styleId="af5">
    <w:basedOn w:val="TableNormal1"/>
    <w:tblPr>
      <w:tblStyleRowBandSize w:val="1"/>
      <w:tblStyleColBandSize w:val="1"/>
      <w:tblCellMar>
        <w:left w:w="115" w:type="dxa"/>
        <w:right w:w="115" w:type="dxa"/>
      </w:tblCellMar>
    </w:tblPr>
  </w:style>
  <w:style w:type="table" w:customStyle="1" w:styleId="af6">
    <w:basedOn w:val="TableNormal1"/>
    <w:tblPr>
      <w:tblStyleRowBandSize w:val="1"/>
      <w:tblStyleColBandSize w:val="1"/>
      <w:tblCellMar>
        <w:left w:w="115" w:type="dxa"/>
        <w:right w:w="115" w:type="dxa"/>
      </w:tblCellMar>
    </w:tblPr>
  </w:style>
  <w:style w:type="table" w:customStyle="1" w:styleId="af7">
    <w:basedOn w:val="TableNormal1"/>
    <w:tblPr>
      <w:tblStyleRowBandSize w:val="1"/>
      <w:tblStyleColBandSize w:val="1"/>
      <w:tblCellMar>
        <w:left w:w="115" w:type="dxa"/>
        <w:right w:w="115" w:type="dxa"/>
      </w:tblCellMar>
    </w:tblPr>
  </w:style>
  <w:style w:type="table" w:customStyle="1" w:styleId="af8">
    <w:basedOn w:val="TableNormal1"/>
    <w:tblPr>
      <w:tblStyleRowBandSize w:val="1"/>
      <w:tblStyleColBandSize w:val="1"/>
      <w:tblCellMar>
        <w:left w:w="115" w:type="dxa"/>
        <w:right w:w="115" w:type="dxa"/>
      </w:tblCellMar>
    </w:tblPr>
  </w:style>
  <w:style w:type="table" w:customStyle="1" w:styleId="af9">
    <w:basedOn w:val="TableNormal1"/>
    <w:tblPr>
      <w:tblStyleRowBandSize w:val="1"/>
      <w:tblStyleColBandSize w:val="1"/>
      <w:tblCellMar>
        <w:left w:w="115" w:type="dxa"/>
        <w:right w:w="115" w:type="dxa"/>
      </w:tblCellMar>
    </w:tblPr>
  </w:style>
  <w:style w:type="table" w:customStyle="1" w:styleId="afa">
    <w:basedOn w:val="TableNormal1"/>
    <w:tblPr>
      <w:tblStyleRowBandSize w:val="1"/>
      <w:tblStyleColBandSize w:val="1"/>
      <w:tblCellMar>
        <w:left w:w="115" w:type="dxa"/>
        <w:right w:w="115" w:type="dxa"/>
      </w:tblCellMar>
    </w:tblPr>
  </w:style>
  <w:style w:type="table" w:customStyle="1" w:styleId="afb">
    <w:basedOn w:val="TableNormal1"/>
    <w:tblPr>
      <w:tblStyleRowBandSize w:val="1"/>
      <w:tblStyleColBandSize w:val="1"/>
      <w:tblCellMar>
        <w:left w:w="115" w:type="dxa"/>
        <w:right w:w="115" w:type="dxa"/>
      </w:tblCellMar>
    </w:tblPr>
  </w:style>
  <w:style w:type="table" w:customStyle="1" w:styleId="afc">
    <w:basedOn w:val="TableNormal1"/>
    <w:tblPr>
      <w:tblStyleRowBandSize w:val="1"/>
      <w:tblStyleColBandSize w:val="1"/>
      <w:tblCellMar>
        <w:left w:w="115" w:type="dxa"/>
        <w:right w:w="115" w:type="dxa"/>
      </w:tblCellMar>
    </w:tblPr>
  </w:style>
  <w:style w:type="table" w:customStyle="1" w:styleId="afd">
    <w:basedOn w:val="TableNormal1"/>
    <w:tblPr>
      <w:tblStyleRowBandSize w:val="1"/>
      <w:tblStyleColBandSize w:val="1"/>
      <w:tblCellMar>
        <w:left w:w="115" w:type="dxa"/>
        <w:right w:w="115" w:type="dxa"/>
      </w:tblCellMar>
    </w:tblPr>
  </w:style>
  <w:style w:type="table" w:customStyle="1" w:styleId="afe">
    <w:basedOn w:val="TableNormal1"/>
    <w:tblPr>
      <w:tblStyleRowBandSize w:val="1"/>
      <w:tblStyleColBandSize w:val="1"/>
      <w:tblCellMar>
        <w:left w:w="115" w:type="dxa"/>
        <w:right w:w="115" w:type="dxa"/>
      </w:tblCellMar>
    </w:tblPr>
  </w:style>
  <w:style w:type="table" w:customStyle="1" w:styleId="aff">
    <w:basedOn w:val="TableNormal1"/>
    <w:tblPr>
      <w:tblStyleRowBandSize w:val="1"/>
      <w:tblStyleColBandSize w:val="1"/>
      <w:tblCellMar>
        <w:left w:w="115" w:type="dxa"/>
        <w:right w:w="115" w:type="dxa"/>
      </w:tblCellMar>
    </w:tblPr>
  </w:style>
  <w:style w:type="table" w:customStyle="1" w:styleId="aff0">
    <w:basedOn w:val="TableNormal1"/>
    <w:tblPr>
      <w:tblStyleRowBandSize w:val="1"/>
      <w:tblStyleColBandSize w:val="1"/>
      <w:tblCellMar>
        <w:left w:w="115" w:type="dxa"/>
        <w:right w:w="115" w:type="dxa"/>
      </w:tblCellMar>
    </w:tblPr>
  </w:style>
  <w:style w:type="table" w:customStyle="1" w:styleId="aff1">
    <w:basedOn w:val="TableNormal1"/>
    <w:tblPr>
      <w:tblStyleRowBandSize w:val="1"/>
      <w:tblStyleColBandSize w:val="1"/>
      <w:tblCellMar>
        <w:left w:w="115" w:type="dxa"/>
        <w:right w:w="115" w:type="dxa"/>
      </w:tblCellMar>
    </w:tblPr>
  </w:style>
  <w:style w:type="table" w:customStyle="1" w:styleId="aff2">
    <w:basedOn w:val="TableNormal1"/>
    <w:tblPr>
      <w:tblStyleRowBandSize w:val="1"/>
      <w:tblStyleColBandSize w:val="1"/>
      <w:tblCellMar>
        <w:left w:w="115" w:type="dxa"/>
        <w:right w:w="115" w:type="dxa"/>
      </w:tblCellMar>
    </w:tblPr>
  </w:style>
  <w:style w:type="table" w:customStyle="1" w:styleId="aff3">
    <w:basedOn w:val="TableNormal1"/>
    <w:tblPr>
      <w:tblStyleRowBandSize w:val="1"/>
      <w:tblStyleColBandSize w:val="1"/>
      <w:tblCellMar>
        <w:left w:w="115" w:type="dxa"/>
        <w:right w:w="115" w:type="dxa"/>
      </w:tblCellMar>
    </w:tblPr>
  </w:style>
  <w:style w:type="table" w:customStyle="1" w:styleId="aff4">
    <w:basedOn w:val="TableNormal1"/>
    <w:tblPr>
      <w:tblStyleRowBandSize w:val="1"/>
      <w:tblStyleColBandSize w:val="1"/>
      <w:tblCellMar>
        <w:left w:w="115" w:type="dxa"/>
        <w:right w:w="115" w:type="dxa"/>
      </w:tblCellMar>
    </w:tblPr>
  </w:style>
  <w:style w:type="table" w:customStyle="1" w:styleId="aff5">
    <w:basedOn w:val="TableNormal1"/>
    <w:tblPr>
      <w:tblStyleRowBandSize w:val="1"/>
      <w:tblStyleColBandSize w:val="1"/>
      <w:tblCellMar>
        <w:left w:w="115" w:type="dxa"/>
        <w:right w:w="115" w:type="dxa"/>
      </w:tblCellMar>
    </w:tblPr>
  </w:style>
  <w:style w:type="table" w:customStyle="1" w:styleId="aff6">
    <w:basedOn w:val="TableNormal1"/>
    <w:tblPr>
      <w:tblStyleRowBandSize w:val="1"/>
      <w:tblStyleColBandSize w:val="1"/>
      <w:tblCellMar>
        <w:left w:w="115" w:type="dxa"/>
        <w:right w:w="115" w:type="dxa"/>
      </w:tblCellMar>
    </w:tblPr>
  </w:style>
  <w:style w:type="table" w:customStyle="1" w:styleId="aff7">
    <w:basedOn w:val="TableNormal1"/>
    <w:tblPr>
      <w:tblStyleRowBandSize w:val="1"/>
      <w:tblStyleColBandSize w:val="1"/>
      <w:tblCellMar>
        <w:left w:w="115" w:type="dxa"/>
        <w:right w:w="115" w:type="dxa"/>
      </w:tblCellMar>
    </w:tblPr>
  </w:style>
  <w:style w:type="table" w:customStyle="1" w:styleId="aff8">
    <w:basedOn w:val="TableNormal1"/>
    <w:tblPr>
      <w:tblStyleRowBandSize w:val="1"/>
      <w:tblStyleColBandSize w:val="1"/>
      <w:tblCellMar>
        <w:left w:w="115" w:type="dxa"/>
        <w:right w:w="115" w:type="dxa"/>
      </w:tblCellMar>
    </w:tblPr>
  </w:style>
  <w:style w:type="table" w:customStyle="1" w:styleId="aff9">
    <w:basedOn w:val="TableNormal1"/>
    <w:tblPr>
      <w:tblStyleRowBandSize w:val="1"/>
      <w:tblStyleColBandSize w:val="1"/>
      <w:tblCellMar>
        <w:left w:w="115" w:type="dxa"/>
        <w:right w:w="115" w:type="dxa"/>
      </w:tblCellMar>
    </w:tblPr>
  </w:style>
  <w:style w:type="table" w:customStyle="1" w:styleId="affa">
    <w:basedOn w:val="TableNormal1"/>
    <w:tblPr>
      <w:tblStyleRowBandSize w:val="1"/>
      <w:tblStyleColBandSize w:val="1"/>
      <w:tblCellMar>
        <w:left w:w="115" w:type="dxa"/>
        <w:right w:w="115" w:type="dxa"/>
      </w:tblCellMar>
    </w:tblPr>
  </w:style>
  <w:style w:type="table" w:customStyle="1" w:styleId="affb">
    <w:basedOn w:val="TableNormal1"/>
    <w:tblPr>
      <w:tblStyleRowBandSize w:val="1"/>
      <w:tblStyleColBandSize w:val="1"/>
      <w:tblCellMar>
        <w:left w:w="115" w:type="dxa"/>
        <w:right w:w="115" w:type="dxa"/>
      </w:tblCellMar>
    </w:tblPr>
  </w:style>
  <w:style w:type="table" w:customStyle="1" w:styleId="affc">
    <w:basedOn w:val="TableNormal1"/>
    <w:tblPr>
      <w:tblStyleRowBandSize w:val="1"/>
      <w:tblStyleColBandSize w:val="1"/>
      <w:tblCellMar>
        <w:left w:w="115" w:type="dxa"/>
        <w:right w:w="115" w:type="dxa"/>
      </w:tblCellMar>
    </w:tblPr>
  </w:style>
  <w:style w:type="table" w:customStyle="1" w:styleId="affd">
    <w:basedOn w:val="TableNormal1"/>
    <w:tblPr>
      <w:tblStyleRowBandSize w:val="1"/>
      <w:tblStyleColBandSize w:val="1"/>
      <w:tblCellMar>
        <w:left w:w="115" w:type="dxa"/>
        <w:right w:w="115" w:type="dxa"/>
      </w:tblCellMar>
    </w:tblPr>
  </w:style>
  <w:style w:type="table" w:customStyle="1" w:styleId="affe">
    <w:basedOn w:val="TableNormal1"/>
    <w:tblPr>
      <w:tblStyleRowBandSize w:val="1"/>
      <w:tblStyleColBandSize w:val="1"/>
      <w:tblCellMar>
        <w:left w:w="115" w:type="dxa"/>
        <w:right w:w="115" w:type="dxa"/>
      </w:tblCellMar>
    </w:tblPr>
  </w:style>
  <w:style w:type="table" w:customStyle="1" w:styleId="afff">
    <w:basedOn w:val="TableNormal1"/>
    <w:tblPr>
      <w:tblStyleRowBandSize w:val="1"/>
      <w:tblStyleColBandSize w:val="1"/>
      <w:tblCellMar>
        <w:left w:w="115" w:type="dxa"/>
        <w:right w:w="115" w:type="dxa"/>
      </w:tblCellMar>
    </w:tblPr>
  </w:style>
  <w:style w:type="table" w:customStyle="1" w:styleId="afff0">
    <w:basedOn w:val="TableNormal1"/>
    <w:tblPr>
      <w:tblStyleRowBandSize w:val="1"/>
      <w:tblStyleColBandSize w:val="1"/>
      <w:tblCellMar>
        <w:left w:w="115" w:type="dxa"/>
        <w:right w:w="115" w:type="dxa"/>
      </w:tblCellMar>
    </w:tblPr>
  </w:style>
  <w:style w:type="table" w:customStyle="1" w:styleId="afff1">
    <w:basedOn w:val="TableNormal1"/>
    <w:tblPr>
      <w:tblStyleRowBandSize w:val="1"/>
      <w:tblStyleColBandSize w:val="1"/>
      <w:tblCellMar>
        <w:left w:w="115" w:type="dxa"/>
        <w:right w:w="115" w:type="dxa"/>
      </w:tblCellMar>
    </w:tblPr>
  </w:style>
  <w:style w:type="table" w:customStyle="1" w:styleId="afff2">
    <w:basedOn w:val="TableNormal1"/>
    <w:tblPr>
      <w:tblStyleRowBandSize w:val="1"/>
      <w:tblStyleColBandSize w:val="1"/>
      <w:tblCellMar>
        <w:left w:w="115" w:type="dxa"/>
        <w:right w:w="115" w:type="dxa"/>
      </w:tblCellMar>
    </w:tblPr>
  </w:style>
  <w:style w:type="table" w:customStyle="1" w:styleId="afff3">
    <w:basedOn w:val="TableNormal1"/>
    <w:tblPr>
      <w:tblStyleRowBandSize w:val="1"/>
      <w:tblStyleColBandSize w:val="1"/>
      <w:tblCellMar>
        <w:left w:w="115" w:type="dxa"/>
        <w:right w:w="115" w:type="dxa"/>
      </w:tblCellMar>
    </w:tblPr>
  </w:style>
  <w:style w:type="table" w:customStyle="1" w:styleId="afff4">
    <w:basedOn w:val="TableNormal1"/>
    <w:tblPr>
      <w:tblStyleRowBandSize w:val="1"/>
      <w:tblStyleColBandSize w:val="1"/>
      <w:tblCellMar>
        <w:left w:w="115" w:type="dxa"/>
        <w:right w:w="115" w:type="dxa"/>
      </w:tblCellMar>
    </w:tblPr>
  </w:style>
  <w:style w:type="table" w:customStyle="1" w:styleId="afff5">
    <w:basedOn w:val="TableNormal1"/>
    <w:tblPr>
      <w:tblStyleRowBandSize w:val="1"/>
      <w:tblStyleColBandSize w:val="1"/>
      <w:tblCellMar>
        <w:left w:w="115" w:type="dxa"/>
        <w:right w:w="115" w:type="dxa"/>
      </w:tblCellMar>
    </w:tblPr>
  </w:style>
  <w:style w:type="table" w:customStyle="1" w:styleId="afff6">
    <w:basedOn w:val="TableNormal1"/>
    <w:tblPr>
      <w:tblStyleRowBandSize w:val="1"/>
      <w:tblStyleColBandSize w:val="1"/>
      <w:tblCellMar>
        <w:left w:w="115" w:type="dxa"/>
        <w:right w:w="115" w:type="dxa"/>
      </w:tblCellMar>
    </w:tblPr>
  </w:style>
  <w:style w:type="table" w:customStyle="1" w:styleId="afff7">
    <w:basedOn w:val="TableNormal1"/>
    <w:tblPr>
      <w:tblStyleRowBandSize w:val="1"/>
      <w:tblStyleColBandSize w:val="1"/>
      <w:tblCellMar>
        <w:left w:w="115" w:type="dxa"/>
        <w:right w:w="115" w:type="dxa"/>
      </w:tblCellMar>
    </w:tblPr>
  </w:style>
  <w:style w:type="table" w:customStyle="1" w:styleId="afff8">
    <w:basedOn w:val="TableNormal1"/>
    <w:tblPr>
      <w:tblStyleRowBandSize w:val="1"/>
      <w:tblStyleColBandSize w:val="1"/>
      <w:tblCellMar>
        <w:left w:w="115" w:type="dxa"/>
        <w:right w:w="115" w:type="dxa"/>
      </w:tblCellMar>
    </w:tblPr>
  </w:style>
  <w:style w:type="table" w:customStyle="1" w:styleId="afff9">
    <w:basedOn w:val="TableNormal1"/>
    <w:tblPr>
      <w:tblStyleRowBandSize w:val="1"/>
      <w:tblStyleColBandSize w:val="1"/>
      <w:tblCellMar>
        <w:left w:w="115" w:type="dxa"/>
        <w:right w:w="115" w:type="dxa"/>
      </w:tblCellMar>
    </w:tblPr>
  </w:style>
  <w:style w:type="table" w:customStyle="1" w:styleId="afffa">
    <w:basedOn w:val="TableNormal1"/>
    <w:tblPr>
      <w:tblStyleRowBandSize w:val="1"/>
      <w:tblStyleColBandSize w:val="1"/>
      <w:tblCellMar>
        <w:left w:w="115" w:type="dxa"/>
        <w:right w:w="115" w:type="dxa"/>
      </w:tblCellMar>
    </w:tblPr>
  </w:style>
  <w:style w:type="table" w:customStyle="1" w:styleId="afffb">
    <w:basedOn w:val="TableNormal1"/>
    <w:tblPr>
      <w:tblStyleRowBandSize w:val="1"/>
      <w:tblStyleColBandSize w:val="1"/>
      <w:tblCellMar>
        <w:left w:w="115" w:type="dxa"/>
        <w:right w:w="115" w:type="dxa"/>
      </w:tblCellMar>
    </w:tblPr>
  </w:style>
  <w:style w:type="table" w:customStyle="1" w:styleId="afffc">
    <w:basedOn w:val="TableNormal1"/>
    <w:tblPr>
      <w:tblStyleRowBandSize w:val="1"/>
      <w:tblStyleColBandSize w:val="1"/>
      <w:tblCellMar>
        <w:left w:w="115" w:type="dxa"/>
        <w:right w:w="115" w:type="dxa"/>
      </w:tblCellMar>
    </w:tblPr>
  </w:style>
  <w:style w:type="table" w:customStyle="1" w:styleId="afffd">
    <w:basedOn w:val="TableNormal1"/>
    <w:tblPr>
      <w:tblStyleRowBandSize w:val="1"/>
      <w:tblStyleColBandSize w:val="1"/>
      <w:tblCellMar>
        <w:left w:w="115" w:type="dxa"/>
        <w:right w:w="115" w:type="dxa"/>
      </w:tblCellMar>
    </w:tblPr>
  </w:style>
  <w:style w:type="table" w:customStyle="1" w:styleId="afffe">
    <w:basedOn w:val="TableNormal1"/>
    <w:tblPr>
      <w:tblStyleRowBandSize w:val="1"/>
      <w:tblStyleColBandSize w:val="1"/>
      <w:tblCellMar>
        <w:left w:w="115" w:type="dxa"/>
        <w:right w:w="115" w:type="dxa"/>
      </w:tblCellMar>
    </w:tblPr>
  </w:style>
  <w:style w:type="table" w:customStyle="1" w:styleId="affff">
    <w:basedOn w:val="TableNormal1"/>
    <w:tblPr>
      <w:tblStyleRowBandSize w:val="1"/>
      <w:tblStyleColBandSize w:val="1"/>
      <w:tblCellMar>
        <w:left w:w="115" w:type="dxa"/>
        <w:right w:w="115" w:type="dxa"/>
      </w:tblCellMar>
    </w:tblPr>
  </w:style>
  <w:style w:type="table" w:customStyle="1" w:styleId="affff0">
    <w:basedOn w:val="TableNormal1"/>
    <w:tblPr>
      <w:tblStyleRowBandSize w:val="1"/>
      <w:tblStyleColBandSize w:val="1"/>
      <w:tblCellMar>
        <w:left w:w="115" w:type="dxa"/>
        <w:right w:w="115" w:type="dxa"/>
      </w:tblCellMar>
    </w:tblPr>
  </w:style>
  <w:style w:type="table" w:customStyle="1" w:styleId="affff1">
    <w:basedOn w:val="TableNormal1"/>
    <w:tblPr>
      <w:tblStyleRowBandSize w:val="1"/>
      <w:tblStyleColBandSize w:val="1"/>
      <w:tblCellMar>
        <w:left w:w="115" w:type="dxa"/>
        <w:right w:w="115" w:type="dxa"/>
      </w:tblCellMar>
    </w:tblPr>
  </w:style>
  <w:style w:type="table" w:customStyle="1" w:styleId="affff2">
    <w:basedOn w:val="TableNormal1"/>
    <w:tblPr>
      <w:tblStyleRowBandSize w:val="1"/>
      <w:tblStyleColBandSize w:val="1"/>
      <w:tblCellMar>
        <w:left w:w="115" w:type="dxa"/>
        <w:right w:w="115" w:type="dxa"/>
      </w:tblCellMar>
    </w:tblPr>
  </w:style>
  <w:style w:type="table" w:customStyle="1" w:styleId="affff3">
    <w:basedOn w:val="TableNormal1"/>
    <w:tblPr>
      <w:tblStyleRowBandSize w:val="1"/>
      <w:tblStyleColBandSize w:val="1"/>
      <w:tblCellMar>
        <w:left w:w="115" w:type="dxa"/>
        <w:right w:w="115" w:type="dxa"/>
      </w:tblCellMar>
    </w:tblPr>
  </w:style>
  <w:style w:type="table" w:customStyle="1" w:styleId="affff4">
    <w:basedOn w:val="TableNormal1"/>
    <w:tblPr>
      <w:tblStyleRowBandSize w:val="1"/>
      <w:tblStyleColBandSize w:val="1"/>
      <w:tblCellMar>
        <w:left w:w="115" w:type="dxa"/>
        <w:right w:w="115" w:type="dxa"/>
      </w:tblCellMar>
    </w:tblPr>
  </w:style>
  <w:style w:type="table" w:customStyle="1" w:styleId="affff5">
    <w:basedOn w:val="TableNormal1"/>
    <w:tblPr>
      <w:tblStyleRowBandSize w:val="1"/>
      <w:tblStyleColBandSize w:val="1"/>
      <w:tblCellMar>
        <w:left w:w="115" w:type="dxa"/>
        <w:right w:w="115" w:type="dxa"/>
      </w:tblCellMar>
    </w:tblPr>
  </w:style>
  <w:style w:type="table" w:customStyle="1" w:styleId="affff6">
    <w:basedOn w:val="TableNormal1"/>
    <w:tblPr>
      <w:tblStyleRowBandSize w:val="1"/>
      <w:tblStyleColBandSize w:val="1"/>
      <w:tblCellMar>
        <w:left w:w="115" w:type="dxa"/>
        <w:right w:w="115" w:type="dxa"/>
      </w:tblCellMar>
    </w:tblPr>
  </w:style>
  <w:style w:type="table" w:customStyle="1" w:styleId="affff7">
    <w:basedOn w:val="TableNormal1"/>
    <w:tblPr>
      <w:tblStyleRowBandSize w:val="1"/>
      <w:tblStyleColBandSize w:val="1"/>
      <w:tblCellMar>
        <w:left w:w="115" w:type="dxa"/>
        <w:right w:w="115" w:type="dxa"/>
      </w:tblCellMar>
    </w:tblPr>
  </w:style>
  <w:style w:type="table" w:customStyle="1" w:styleId="affff8">
    <w:basedOn w:val="TableNormal1"/>
    <w:tblPr>
      <w:tblStyleRowBandSize w:val="1"/>
      <w:tblStyleColBandSize w:val="1"/>
      <w:tblCellMar>
        <w:left w:w="115" w:type="dxa"/>
        <w:right w:w="115" w:type="dxa"/>
      </w:tblCellMar>
    </w:tblPr>
  </w:style>
  <w:style w:type="table" w:customStyle="1" w:styleId="affff9">
    <w:basedOn w:val="TableNormal1"/>
    <w:tblPr>
      <w:tblStyleRowBandSize w:val="1"/>
      <w:tblStyleColBandSize w:val="1"/>
      <w:tblCellMar>
        <w:left w:w="115" w:type="dxa"/>
        <w:right w:w="115" w:type="dxa"/>
      </w:tblCellMar>
    </w:tblPr>
  </w:style>
  <w:style w:type="table" w:customStyle="1" w:styleId="affffa">
    <w:basedOn w:val="TableNormal1"/>
    <w:tblPr>
      <w:tblStyleRowBandSize w:val="1"/>
      <w:tblStyleColBandSize w:val="1"/>
      <w:tblCellMar>
        <w:left w:w="115" w:type="dxa"/>
        <w:right w:w="115" w:type="dxa"/>
      </w:tblCellMar>
    </w:tblPr>
  </w:style>
  <w:style w:type="table" w:customStyle="1" w:styleId="affffb">
    <w:basedOn w:val="TableNormal1"/>
    <w:tblPr>
      <w:tblStyleRowBandSize w:val="1"/>
      <w:tblStyleColBandSize w:val="1"/>
      <w:tblCellMar>
        <w:left w:w="115" w:type="dxa"/>
        <w:right w:w="115" w:type="dxa"/>
      </w:tblCellMar>
    </w:tblPr>
  </w:style>
  <w:style w:type="table" w:customStyle="1" w:styleId="affffc">
    <w:basedOn w:val="TableNormal1"/>
    <w:tblPr>
      <w:tblStyleRowBandSize w:val="1"/>
      <w:tblStyleColBandSize w:val="1"/>
      <w:tblCellMar>
        <w:left w:w="115" w:type="dxa"/>
        <w:right w:w="115" w:type="dxa"/>
      </w:tblCellMar>
    </w:tblPr>
  </w:style>
  <w:style w:type="table" w:customStyle="1" w:styleId="affffd">
    <w:basedOn w:val="TableNormal1"/>
    <w:tblPr>
      <w:tblStyleRowBandSize w:val="1"/>
      <w:tblStyleColBandSize w:val="1"/>
      <w:tblCellMar>
        <w:left w:w="115" w:type="dxa"/>
        <w:right w:w="115" w:type="dxa"/>
      </w:tblCellMar>
    </w:tblPr>
  </w:style>
  <w:style w:type="table" w:customStyle="1" w:styleId="affffe">
    <w:basedOn w:val="TableNormal1"/>
    <w:tblPr>
      <w:tblStyleRowBandSize w:val="1"/>
      <w:tblStyleColBandSize w:val="1"/>
      <w:tblCellMar>
        <w:left w:w="115" w:type="dxa"/>
        <w:right w:w="115" w:type="dxa"/>
      </w:tblCellMar>
    </w:tblPr>
  </w:style>
  <w:style w:type="table" w:customStyle="1" w:styleId="afffff">
    <w:basedOn w:val="TableNormal1"/>
    <w:tblPr>
      <w:tblStyleRowBandSize w:val="1"/>
      <w:tblStyleColBandSize w:val="1"/>
      <w:tblCellMar>
        <w:left w:w="115" w:type="dxa"/>
        <w:right w:w="115" w:type="dxa"/>
      </w:tblCellMar>
    </w:tblPr>
  </w:style>
  <w:style w:type="table" w:customStyle="1" w:styleId="afffff0">
    <w:basedOn w:val="TableNormal1"/>
    <w:tblPr>
      <w:tblStyleRowBandSize w:val="1"/>
      <w:tblStyleColBandSize w:val="1"/>
      <w:tblCellMar>
        <w:left w:w="115" w:type="dxa"/>
        <w:right w:w="115" w:type="dxa"/>
      </w:tblCellMar>
    </w:tblPr>
  </w:style>
  <w:style w:type="table" w:customStyle="1" w:styleId="afffff1">
    <w:basedOn w:val="TableNormal1"/>
    <w:tblPr>
      <w:tblStyleRowBandSize w:val="1"/>
      <w:tblStyleColBandSize w:val="1"/>
      <w:tblCellMar>
        <w:left w:w="115" w:type="dxa"/>
        <w:right w:w="115" w:type="dxa"/>
      </w:tblCellMar>
    </w:tblPr>
  </w:style>
  <w:style w:type="table" w:customStyle="1" w:styleId="afffff2">
    <w:basedOn w:val="TableNormal1"/>
    <w:tblPr>
      <w:tblStyleRowBandSize w:val="1"/>
      <w:tblStyleColBandSize w:val="1"/>
      <w:tblCellMar>
        <w:left w:w="115" w:type="dxa"/>
        <w:right w:w="115" w:type="dxa"/>
      </w:tblCellMar>
    </w:tblPr>
  </w:style>
  <w:style w:type="table" w:customStyle="1" w:styleId="afffff3">
    <w:basedOn w:val="TableNormal1"/>
    <w:tblPr>
      <w:tblStyleRowBandSize w:val="1"/>
      <w:tblStyleColBandSize w:val="1"/>
      <w:tblCellMar>
        <w:left w:w="115" w:type="dxa"/>
        <w:right w:w="115" w:type="dxa"/>
      </w:tblCellMar>
    </w:tblPr>
  </w:style>
  <w:style w:type="table" w:customStyle="1" w:styleId="afffff4">
    <w:basedOn w:val="TableNormal1"/>
    <w:tblPr>
      <w:tblStyleRowBandSize w:val="1"/>
      <w:tblStyleColBandSize w:val="1"/>
      <w:tblCellMar>
        <w:left w:w="115" w:type="dxa"/>
        <w:right w:w="115" w:type="dxa"/>
      </w:tblCellMar>
    </w:tblPr>
  </w:style>
  <w:style w:type="table" w:customStyle="1" w:styleId="afffff5">
    <w:basedOn w:val="TableNormal1"/>
    <w:tblPr>
      <w:tblStyleRowBandSize w:val="1"/>
      <w:tblStyleColBandSize w:val="1"/>
      <w:tblCellMar>
        <w:left w:w="115" w:type="dxa"/>
        <w:right w:w="115" w:type="dxa"/>
      </w:tblCellMar>
    </w:tblPr>
  </w:style>
  <w:style w:type="table" w:customStyle="1" w:styleId="afffff6">
    <w:basedOn w:val="TableNormal1"/>
    <w:tblPr>
      <w:tblStyleRowBandSize w:val="1"/>
      <w:tblStyleColBandSize w:val="1"/>
      <w:tblCellMar>
        <w:left w:w="115" w:type="dxa"/>
        <w:right w:w="115" w:type="dxa"/>
      </w:tblCellMar>
    </w:tblPr>
  </w:style>
  <w:style w:type="table" w:customStyle="1" w:styleId="afffff7">
    <w:basedOn w:val="TableNormal1"/>
    <w:tblPr>
      <w:tblStyleRowBandSize w:val="1"/>
      <w:tblStyleColBandSize w:val="1"/>
      <w:tblCellMar>
        <w:left w:w="115" w:type="dxa"/>
        <w:right w:w="115" w:type="dxa"/>
      </w:tblCellMar>
    </w:tblPr>
  </w:style>
  <w:style w:type="table" w:customStyle="1" w:styleId="afffff8">
    <w:basedOn w:val="TableNormal1"/>
    <w:tblPr>
      <w:tblStyleRowBandSize w:val="1"/>
      <w:tblStyleColBandSize w:val="1"/>
      <w:tblCellMar>
        <w:left w:w="115" w:type="dxa"/>
        <w:right w:w="115" w:type="dxa"/>
      </w:tblCellMar>
    </w:tblPr>
  </w:style>
  <w:style w:type="table" w:customStyle="1" w:styleId="afffff9">
    <w:basedOn w:val="TableNormal1"/>
    <w:tblPr>
      <w:tblStyleRowBandSize w:val="1"/>
      <w:tblStyleColBandSize w:val="1"/>
      <w:tblCellMar>
        <w:left w:w="115" w:type="dxa"/>
        <w:right w:w="115" w:type="dxa"/>
      </w:tblCellMar>
    </w:tblPr>
  </w:style>
  <w:style w:type="table" w:customStyle="1" w:styleId="afffffa">
    <w:basedOn w:val="TableNormal1"/>
    <w:tblPr>
      <w:tblStyleRowBandSize w:val="1"/>
      <w:tblStyleColBandSize w:val="1"/>
      <w:tblCellMar>
        <w:left w:w="115" w:type="dxa"/>
        <w:right w:w="115" w:type="dxa"/>
      </w:tblCellMar>
    </w:tblPr>
  </w:style>
  <w:style w:type="table" w:customStyle="1" w:styleId="afffffb">
    <w:basedOn w:val="TableNormal1"/>
    <w:tblPr>
      <w:tblStyleRowBandSize w:val="1"/>
      <w:tblStyleColBandSize w:val="1"/>
      <w:tblCellMar>
        <w:left w:w="115" w:type="dxa"/>
        <w:right w:w="115" w:type="dxa"/>
      </w:tblCellMar>
    </w:tblPr>
  </w:style>
  <w:style w:type="table" w:customStyle="1" w:styleId="afffffc">
    <w:basedOn w:val="TableNormal1"/>
    <w:tblPr>
      <w:tblStyleRowBandSize w:val="1"/>
      <w:tblStyleColBandSize w:val="1"/>
      <w:tblCellMar>
        <w:left w:w="115" w:type="dxa"/>
        <w:right w:w="115" w:type="dxa"/>
      </w:tblCellMar>
    </w:tblPr>
  </w:style>
  <w:style w:type="character" w:styleId="afffffd">
    <w:name w:val="annotation reference"/>
    <w:basedOn w:val="a0"/>
    <w:uiPriority w:val="99"/>
    <w:semiHidden/>
    <w:unhideWhenUsed/>
    <w:rsid w:val="005E3319"/>
    <w:rPr>
      <w:sz w:val="18"/>
      <w:szCs w:val="18"/>
    </w:rPr>
  </w:style>
  <w:style w:type="paragraph" w:styleId="afffffe">
    <w:name w:val="annotation text"/>
    <w:basedOn w:val="a"/>
    <w:link w:val="affffff"/>
    <w:uiPriority w:val="99"/>
    <w:semiHidden/>
    <w:unhideWhenUsed/>
    <w:rsid w:val="005E3319"/>
  </w:style>
  <w:style w:type="character" w:customStyle="1" w:styleId="affffff">
    <w:name w:val="コメント文字列 (文字)"/>
    <w:basedOn w:val="a0"/>
    <w:link w:val="afffffe"/>
    <w:uiPriority w:val="99"/>
    <w:semiHidden/>
    <w:rsid w:val="005E3319"/>
    <w:rPr>
      <w:lang w:eastAsia="en-US"/>
    </w:rPr>
  </w:style>
  <w:style w:type="paragraph" w:styleId="affffff0">
    <w:name w:val="annotation subject"/>
    <w:basedOn w:val="afffffe"/>
    <w:next w:val="afffffe"/>
    <w:link w:val="affffff1"/>
    <w:uiPriority w:val="99"/>
    <w:semiHidden/>
    <w:unhideWhenUsed/>
    <w:rsid w:val="005E3319"/>
    <w:rPr>
      <w:b/>
      <w:bCs/>
    </w:rPr>
  </w:style>
  <w:style w:type="character" w:customStyle="1" w:styleId="affffff1">
    <w:name w:val="コメント内容 (文字)"/>
    <w:basedOn w:val="affffff"/>
    <w:link w:val="affffff0"/>
    <w:uiPriority w:val="99"/>
    <w:semiHidden/>
    <w:rsid w:val="005E3319"/>
    <w:rPr>
      <w:b/>
      <w:bCs/>
      <w:lang w:eastAsia="en-US"/>
    </w:rPr>
  </w:style>
  <w:style w:type="paragraph" w:styleId="affffff2">
    <w:name w:val="Revision"/>
    <w:hidden/>
    <w:uiPriority w:val="99"/>
    <w:semiHidden/>
    <w:rsid w:val="005C0374"/>
    <w:rPr>
      <w:lang w:eastAsia="en-US"/>
    </w:rPr>
  </w:style>
  <w:style w:type="paragraph" w:styleId="affffff3">
    <w:name w:val="Balloon Text"/>
    <w:basedOn w:val="a"/>
    <w:link w:val="affffff4"/>
    <w:uiPriority w:val="99"/>
    <w:semiHidden/>
    <w:unhideWhenUsed/>
    <w:rsid w:val="005C0374"/>
    <w:rPr>
      <w:rFonts w:asciiTheme="majorHAnsi" w:eastAsiaTheme="majorEastAsia" w:hAnsiTheme="majorHAnsi" w:cstheme="majorBidi"/>
      <w:sz w:val="18"/>
      <w:szCs w:val="18"/>
    </w:rPr>
  </w:style>
  <w:style w:type="character" w:customStyle="1" w:styleId="affffff4">
    <w:name w:val="吹き出し (文字)"/>
    <w:basedOn w:val="a0"/>
    <w:link w:val="affffff3"/>
    <w:uiPriority w:val="99"/>
    <w:semiHidden/>
    <w:rsid w:val="005C0374"/>
    <w:rPr>
      <w:rFonts w:asciiTheme="majorHAnsi" w:eastAsiaTheme="majorEastAsia" w:hAnsiTheme="majorHAnsi" w:cstheme="majorBidi"/>
      <w:sz w:val="18"/>
      <w:szCs w:val="18"/>
      <w:lang w:eastAsia="en-US"/>
    </w:rPr>
  </w:style>
  <w:style w:type="paragraph" w:styleId="affffff5">
    <w:name w:val="header"/>
    <w:basedOn w:val="a"/>
    <w:link w:val="affffff6"/>
    <w:uiPriority w:val="99"/>
    <w:unhideWhenUsed/>
    <w:rsid w:val="00F92154"/>
    <w:pPr>
      <w:tabs>
        <w:tab w:val="center" w:pos="4252"/>
        <w:tab w:val="right" w:pos="8504"/>
      </w:tabs>
      <w:snapToGrid w:val="0"/>
    </w:pPr>
  </w:style>
  <w:style w:type="character" w:customStyle="1" w:styleId="affffff6">
    <w:name w:val="ヘッダー (文字)"/>
    <w:basedOn w:val="a0"/>
    <w:link w:val="affffff5"/>
    <w:uiPriority w:val="99"/>
    <w:rsid w:val="00F92154"/>
    <w:rPr>
      <w:lang w:eastAsia="en-US"/>
    </w:rPr>
  </w:style>
  <w:style w:type="paragraph" w:styleId="affffff7">
    <w:name w:val="footer"/>
    <w:basedOn w:val="a"/>
    <w:link w:val="affffff8"/>
    <w:uiPriority w:val="99"/>
    <w:unhideWhenUsed/>
    <w:rsid w:val="00F92154"/>
    <w:pPr>
      <w:tabs>
        <w:tab w:val="center" w:pos="4252"/>
        <w:tab w:val="right" w:pos="8504"/>
      </w:tabs>
      <w:snapToGrid w:val="0"/>
    </w:pPr>
  </w:style>
  <w:style w:type="character" w:customStyle="1" w:styleId="affffff8">
    <w:name w:val="フッター (文字)"/>
    <w:basedOn w:val="a0"/>
    <w:link w:val="affffff7"/>
    <w:uiPriority w:val="99"/>
    <w:rsid w:val="00F92154"/>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619849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Helvetica Neue"/>
        <a:ea typeface="ＭＳ ゴシック"/>
        <a:cs typeface="Helvetica Neue"/>
      </a:majorFont>
      <a:minorFont>
        <a:latin typeface="Helvetica Neue"/>
        <a:ea typeface="ＭＳ 明朝"/>
        <a:cs typeface="Helvetica Neue"/>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A5LO1tPJl5huAprGTSZQ9W0Eszw==">AMUW2mU6+JXLOONEL0p5quCGjSENFM8o9NespiLOUWTDIEkrd0adKDgsk+aRbkxKCqliQeJZre6KbmAIp1t05gxskBsKadNqV5IS069v9YFCOS0kxJ3uswp84PhlbDo8y3Hh/dDwVzd0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258</Words>
  <Characters>1474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2022-11-08T11:26:00Z</dcterms:created>
  <dcterms:modified xsi:type="dcterms:W3CDTF">2022-11-08T11:26:00Z</dcterms:modified>
</cp:coreProperties>
</file>