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C678" w14:textId="77777777" w:rsidR="00633043" w:rsidRDefault="00633043" w:rsidP="00633043">
      <w:pPr>
        <w:tabs>
          <w:tab w:val="left" w:pos="936"/>
        </w:tabs>
        <w:jc w:val="both"/>
        <w:rPr>
          <w:rFonts w:ascii="Meiryo UI" w:eastAsia="Meiryo UI" w:hAnsi="Meiryo UI" w:cs="Meiryo UI"/>
          <w:b/>
          <w:sz w:val="22"/>
          <w:szCs w:val="22"/>
        </w:rPr>
      </w:pPr>
      <w:r>
        <w:rPr>
          <w:rFonts w:ascii="Meiryo UI" w:eastAsia="Meiryo UI" w:hAnsi="Meiryo UI" w:cs="Meiryo UI" w:hint="eastAsia"/>
          <w:b/>
          <w:sz w:val="22"/>
          <w:szCs w:val="22"/>
        </w:rPr>
        <w:t>両国橋</w:t>
      </w:r>
    </w:p>
    <w:p w14:paraId="4306A5E9" w14:textId="77777777" w:rsidR="00633043" w:rsidRDefault="00633043" w:rsidP="00633043">
      <w:pPr>
        <w:tabs>
          <w:tab w:val="left" w:pos="936"/>
        </w:tabs>
        <w:jc w:val="both"/>
        <w:rPr>
          <w:rFonts w:ascii="Meiryo UI" w:eastAsia="Meiryo UI" w:hAnsi="Meiryo UI" w:cs="Meiryo UI" w:hint="eastAsia"/>
          <w:b/>
          <w:sz w:val="22"/>
          <w:szCs w:val="22"/>
        </w:rPr>
      </w:pPr>
    </w:p>
    <w:p w14:paraId="7117BDF3" w14:textId="77777777" w:rsidR="00633043" w:rsidRDefault="00633043" w:rsidP="00633043">
      <w:pPr>
        <w:tabs>
          <w:tab w:val="left" w:pos="936"/>
        </w:tabs>
        <w:jc w:val="both"/>
        <w:rPr>
          <w:rFonts w:eastAsia="Times New Roman" w:cs="Times New Roman" w:hint="eastAsia"/>
        </w:rPr>
      </w:pPr>
      <w:r>
        <w:rPr>
          <w:rFonts w:ascii="Meiryo UI" w:eastAsia="Meiryo UI" w:hAnsi="Meiryo UI" w:cs="Meiryo UI" w:hint="eastAsia"/>
          <w:sz w:val="22"/>
          <w:szCs w:val="22"/>
        </w:rPr>
        <w:t>この橋のLEDライトの色は、温度、周囲の騒音レベル、道路の振動、さらには宇宙からの宇宙線に反応し、変化します。日本人アーティストの逢坂卓郎は、私たちの周囲の人間の活動を考察するデザインとして環境コンセプトを選びました。東京生まれの卓郎は、ライトアートのパイオニアと言われています。彼の作品の多くは自然と科学をテーマにしています。 「SORAとMIZU」は、2010年徳島LEDアートフェスティバルで受賞した2つの作品の内の1つです。</w:t>
      </w:r>
    </w:p>
    <w:p w14:paraId="00000357" w14:textId="719F6012" w:rsidR="003957B4" w:rsidRPr="00633043" w:rsidRDefault="003957B4" w:rsidP="00633043"/>
    <w:sectPr w:rsidR="003957B4" w:rsidRPr="00633043">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633043"/>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355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2022-11-08T13:02:00Z</dcterms:created>
  <dcterms:modified xsi:type="dcterms:W3CDTF">2022-11-08T13:02:00Z</dcterms:modified>
</cp:coreProperties>
</file>