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6258" w14:textId="77777777" w:rsidR="00264795" w:rsidRDefault="00264795" w:rsidP="00264795">
      <w:pPr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 xml:space="preserve">小柳家・平野家 </w:t>
      </w:r>
    </w:p>
    <w:p w14:paraId="0FE9B711" w14:textId="77777777" w:rsidR="00264795" w:rsidRDefault="00264795" w:rsidP="00264795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 xml:space="preserve">19世紀前半に建てられたこの3階建ての家は、塩田津で最大級の居蔵家です。 </w:t>
      </w:r>
    </w:p>
    <w:p w14:paraId="1420CCA3" w14:textId="77777777" w:rsidR="00264795" w:rsidRDefault="00264795" w:rsidP="00264795">
      <w:pPr>
        <w:rPr>
          <w:rFonts w:ascii="Meiryo UI" w:eastAsia="Meiryo UI" w:hAnsi="Meiryo UI" w:cs="Arial" w:hint="eastAsia"/>
          <w:sz w:val="22"/>
          <w:szCs w:val="22"/>
        </w:rPr>
      </w:pPr>
    </w:p>
    <w:p w14:paraId="49574B4D" w14:textId="77777777" w:rsidR="00264795" w:rsidRDefault="00264795" w:rsidP="00264795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 xml:space="preserve">住居は、屋根の間に三角形の壁が見える、寄棟瓦の屋根で識別される「居蔵家」様式で建設されました。 その規模の大きさから、現在では店内を2つに分けて店舗を運営しています。 </w:t>
      </w:r>
    </w:p>
    <w:p w14:paraId="34F0AAC1" w14:textId="77777777" w:rsidR="00264795" w:rsidRDefault="00264795" w:rsidP="00264795">
      <w:pPr>
        <w:rPr>
          <w:rFonts w:ascii="Meiryo UI" w:eastAsia="Meiryo UI" w:hAnsi="Meiryo UI" w:cs="Arial" w:hint="eastAsia"/>
          <w:sz w:val="22"/>
          <w:szCs w:val="22"/>
        </w:rPr>
      </w:pPr>
    </w:p>
    <w:p w14:paraId="0FD38987" w14:textId="77777777" w:rsidR="00264795" w:rsidRDefault="00264795" w:rsidP="00264795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江戸時代には呉服店を営み、向かいに別の支店を開いていた。1910年には一時期銀行になっていました。</w:t>
      </w:r>
    </w:p>
    <w:p w14:paraId="0000055E" w14:textId="3930A94E" w:rsidR="00045348" w:rsidRPr="00264795" w:rsidRDefault="00045348" w:rsidP="00264795"/>
    <w:sectPr w:rsidR="00045348" w:rsidRPr="00264795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264795"/>
    <w:rsid w:val="00342CFD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