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1FA5" w14:textId="77777777" w:rsidR="00D97151" w:rsidRDefault="00D97151" w:rsidP="00D97151">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246"/>
          <w:id w:val="2053494191"/>
        </w:sdtPr>
        <w:sdtContent>
          <w:r>
            <w:rPr>
              <w:rFonts w:ascii="Meiryo UI" w:eastAsia="Meiryo UI" w:hAnsi="Meiryo UI" w:cs="Meiryo UI" w:hint="eastAsia"/>
              <w:b/>
              <w:color w:val="000000"/>
              <w:sz w:val="24"/>
              <w:szCs w:val="24"/>
            </w:rPr>
            <w:t>道の駅 雫石あねっこ</w:t>
          </w:r>
        </w:sdtContent>
      </w:sdt>
    </w:p>
    <w:p w14:paraId="7CE4B343" w14:textId="77777777" w:rsidR="00D97151" w:rsidRDefault="00D97151" w:rsidP="00D97151">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47"/>
          <w:id w:val="-238404959"/>
        </w:sdtPr>
        <w:sdtContent>
          <w:r>
            <w:rPr>
              <w:rFonts w:ascii="Meiryo UI" w:eastAsia="Meiryo UI" w:hAnsi="Meiryo UI" w:cs="Meiryo UI" w:hint="eastAsia"/>
              <w:color w:val="000000"/>
              <w:sz w:val="24"/>
              <w:szCs w:val="24"/>
            </w:rPr>
            <w:t>道の駅は飲食店やテイクアウト、お土産店や清潔なトレイ等、旅行者に便利なサービスを提供します。雫石あねっこは、地域の特性・魅力を知ることのできる場所としてとてもいい例です。</w:t>
          </w:r>
        </w:sdtContent>
      </w:sdt>
    </w:p>
    <w:p w14:paraId="6CBE05A0" w14:textId="77777777" w:rsidR="00D97151" w:rsidRDefault="00D97151" w:rsidP="00D97151">
      <w:pPr>
        <w:widowControl/>
        <w:jc w:val="left"/>
        <w:rPr>
          <w:rFonts w:ascii="Meiryo UI" w:eastAsia="Meiryo UI" w:hAnsi="Meiryo UI" w:cs="Meiryo UI" w:hint="eastAsia"/>
          <w:color w:val="000000"/>
          <w:sz w:val="24"/>
          <w:szCs w:val="24"/>
        </w:rPr>
      </w:pPr>
    </w:p>
    <w:p w14:paraId="50EAC7BB" w14:textId="77777777" w:rsidR="00D97151" w:rsidRDefault="00D97151" w:rsidP="00D97151">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48"/>
          <w:id w:val="-1923401887"/>
        </w:sdtPr>
        <w:sdtContent>
          <w:r>
            <w:rPr>
              <w:rFonts w:ascii="Meiryo UI" w:eastAsia="Meiryo UI" w:hAnsi="Meiryo UI" w:cs="Meiryo UI" w:hint="eastAsia"/>
              <w:color w:val="000000"/>
              <w:sz w:val="24"/>
              <w:szCs w:val="24"/>
            </w:rPr>
            <w:t>施設には旅行者の予算やスケジュールに縛られず楽しめる4つの飲食店があり、蕎麦・わさび・地元の高品質な牛肉なども楽しむことができます。雫石の地産ミルクで作るひとめぼれソフトはとても人気です。</w:t>
          </w:r>
        </w:sdtContent>
      </w:sdt>
    </w:p>
    <w:p w14:paraId="59FD2D78" w14:textId="77777777" w:rsidR="00D97151" w:rsidRDefault="00D97151" w:rsidP="00D97151">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49"/>
          <w:id w:val="-857729131"/>
        </w:sdtPr>
        <w:sdtContent>
          <w:r>
            <w:rPr>
              <w:rFonts w:ascii="Meiryo UI" w:eastAsia="Meiryo UI" w:hAnsi="Meiryo UI" w:cs="Meiryo UI" w:hint="eastAsia"/>
              <w:color w:val="000000"/>
              <w:sz w:val="24"/>
              <w:szCs w:val="24"/>
            </w:rPr>
            <w:t>また洋風と和風の2つのスタイルが楽しめるゆったりとした温泉もあります。</w:t>
          </w:r>
        </w:sdtContent>
      </w:sdt>
    </w:p>
    <w:p w14:paraId="60C63AF2" w14:textId="77777777" w:rsidR="00D97151" w:rsidRDefault="00D97151" w:rsidP="00D97151">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50"/>
          <w:id w:val="-105667428"/>
        </w:sdtPr>
        <w:sdtContent>
          <w:r>
            <w:rPr>
              <w:rFonts w:ascii="Meiryo UI" w:eastAsia="Meiryo UI" w:hAnsi="Meiryo UI" w:cs="Meiryo UI" w:hint="eastAsia"/>
              <w:color w:val="000000"/>
              <w:sz w:val="24"/>
              <w:szCs w:val="24"/>
            </w:rPr>
            <w:t>日帰り客はもちろん、隣接したキャンプ場利用の人も利用できます。お土産店では種類豊富な農産品や工芸品が勢揃いしています。</w:t>
          </w:r>
        </w:sdtContent>
      </w:sdt>
    </w:p>
    <w:p w14:paraId="2FD03466" w14:textId="77777777" w:rsidR="00D97151" w:rsidRDefault="00D97151" w:rsidP="00D97151">
      <w:pPr>
        <w:widowControl/>
        <w:jc w:val="left"/>
        <w:rPr>
          <w:rFonts w:ascii="Meiryo UI" w:eastAsia="Meiryo UI" w:hAnsi="Meiryo UI" w:cs="Meiryo UI" w:hint="eastAsia"/>
          <w:color w:val="000000"/>
          <w:sz w:val="24"/>
          <w:szCs w:val="24"/>
        </w:rPr>
      </w:pPr>
    </w:p>
    <w:p w14:paraId="617708C4" w14:textId="77777777" w:rsidR="00D97151" w:rsidRDefault="00D97151" w:rsidP="00D97151">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51"/>
          <w:id w:val="1540703045"/>
        </w:sdtPr>
        <w:sdtContent>
          <w:r>
            <w:rPr>
              <w:rFonts w:ascii="Meiryo UI" w:eastAsia="Meiryo UI" w:hAnsi="Meiryo UI" w:cs="Meiryo UI" w:hint="eastAsia"/>
              <w:color w:val="000000"/>
              <w:sz w:val="24"/>
              <w:szCs w:val="24"/>
            </w:rPr>
            <w:t>小さいお子さんが自由に動きまわれるほどの十分なスペースがあり、時間があればキャンプ場へ続く橋を歩いて散策して爽やかな川の景色を楽しむのもお薦めです。道の駅の名前にもなっている「あねっこ」は方言で「可愛らしい若い女性」の愛情深い意味で、この地に伝わる5人の姫をモチーフにしています。</w:t>
          </w:r>
        </w:sdtContent>
      </w:sdt>
    </w:p>
    <w:p w14:paraId="000002D7" w14:textId="77777777" w:rsidR="00E2401E" w:rsidRPr="00D97151" w:rsidRDefault="00E2401E" w:rsidP="00D97151"/>
    <w:sectPr w:rsidR="00E2401E" w:rsidRPr="00D9715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97151"/>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46199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