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sz w:val="21"/>
        </w:rPr>
        <w:t>We begin our journey in spring and summer—particularly important seasons for us serow. Having made it through the harsh, snowy winter, we heartily welcome the first signs of spring. As the snow clears from the base of the beech trees, we start to eat the grass and other flourishing undergrowth. In fact, this is the season that the whole ecosystem—from insects to birds to our fellow mammals—has been looking forward to. Join us as we emerge into an increasingly verdant landscape!</w:t>
      </w:r>
    </w:p>
    <w:p>
      <w:pPr/>
    </w:p>
    <w:p>
      <w:pPr/>
      <w:r>
        <w:rPr>
          <w:rFonts w:ascii="Garamond" w:hAnsi="Garamond"/>
          <w:sz w:val="21"/>
        </w:rPr>
        <w:t xml:space="preserve">Along the way, be sure to listen to the sounds recorded around Lake Towada as the forests burst with new life in the spring. </w:t>
      </w:r>
    </w:p>
    <w:p>
      <w:pPr/>
    </w:p>
    <w:p>
      <w:pPr/>
      <w:r>
        <w:rPr>
          <w:rFonts w:ascii="Garamond" w:hAnsi="Garamond"/>
          <w:sz w:val="21"/>
        </w:rPr>
        <w:t>Don’t be afraid to interact with the displays when invited—and be inquisitive! There is a lot you might miss if you don’t interact with the dioramas and exhibits.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