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
    <w:p>
      <w:pPr/>
      <w:r>
        <w:rPr>
          <w:rFonts w:ascii="Garamond" w:hAnsi="Garamond"/>
          <w:sz w:val="21"/>
        </w:rPr>
        <w:t>An American missionary, Bishop Kenneth Viall, built this modest chapel around 1950. A raised floor protects it from the humidity of the forest. Bishop Viall used to visit for services throughout the summer and autumn months. In 1961, Edwin Reischauer, the US ambassador to Japan, visited the chapel with his wife.</w:t>
      </w:r>
    </w:p>
    <w:p>
      <w:pPr/>
    </w:p>
    <w:p>
      <w:pPr/>
      <w:r>
        <w:rPr>
          <w:rFonts w:ascii="Garamond" w:hAnsi="Garamond"/>
          <w:sz w:val="21"/>
        </w:rPr>
        <w:t>Property of The Diocese of Tohoku, The Anglican Episcopal Church in Japan</w:t>
      </w:r>
    </w:p>
    <w:p>
      <w:pPr/>
    </w:p>
    <w:p>
      <w:pPr/>
      <w:r>
        <w:rPr>
          <w:rFonts w:ascii="Garamond" w:hAnsi="Garamond"/>
          <w:sz w:val="21"/>
        </w:rPr>
        <w:t>*Please do not enter the chapel without permission.</w:t>
      </w:r>
    </w:p>
    <w:p>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