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Garden Stream and Waterfall Stonework</w:t>
      </w:r>
    </w:p>
    <w:p>
      <w:pPr/>
      <w:r>
        <w:rPr>
          <w:rFonts w:ascii="Garamond" w:hAnsi="Garamond"/>
        </w:rPr>
        <w:t xml:space="preserve"> </w:t>
      </w:r>
    </w:p>
    <w:p>
      <w:pPr/>
      <w:r>
        <w:rPr>
          <w:rFonts w:ascii="Garamond" w:hAnsi="Garamond"/>
        </w:rPr>
        <w:t>This garden stream was the original water source for the Dancing Crane Pond (Maizurugaike) of Kanjizaioin Temple. The stream spills over the top of the large stones at the water’s edge, creating a waterfall. The stream and its large stones are unique highlights of this garden, and highly valued by garden art researchers.</w:t>
      </w:r>
    </w:p>
    <w:p>
      <w:pPr/>
      <w:r>
        <w:rPr>
          <w:rFonts w:ascii="Garamond" w:hAnsi="Garamond"/>
        </w:rPr>
        <w:t xml:space="preserve"> </w:t>
      </w:r>
    </w:p>
    <w:p>
      <w:pPr/>
      <w:r>
        <w:rPr>
          <w:rFonts w:ascii="Garamond" w:hAnsi="Garamond"/>
        </w:rPr>
        <w:t>The garden of Kanjizaoin Temple is an excellent example of Pure Land Buddhist garden architecture dating to the twelfth century.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