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  <w:sz w:val="21"/>
        </w:rPr>
        <w:tab/>
      </w:r>
      <w:r>
        <w:rPr>
          <w:rFonts w:ascii="Garamond" w:hAnsi="Garamond"/>
          <w:sz w:val="21"/>
        </w:rPr>
        <w:t xml:space="preserve">This room was reserved for </w:t>
      </w:r>
      <w:r>
        <w:rPr>
          <w:rFonts w:ascii="Garamond" w:hAnsi="Garamond"/>
          <w:sz w:val="21"/>
        </w:rPr>
        <w:t>the relatives</w:t>
      </w:r>
      <w:r>
        <w:rPr>
          <w:rFonts w:ascii="Garamond" w:hAnsi="Garamond"/>
          <w:sz w:val="21"/>
        </w:rPr>
        <w:t xml:space="preserve"> of the Date lord. </w:t>
      </w:r>
      <w:r>
        <w:rPr>
          <w:rFonts w:ascii="Garamond" w:hAnsi="Garamond"/>
          <w:sz w:val="21"/>
        </w:rPr>
        <w:t xml:space="preserve">The delicate ceiling work and the classical </w:t>
      </w:r>
      <w:r>
        <w:rPr>
          <w:rFonts w:ascii="Garamond" w:hAnsi="Garamond"/>
          <w:sz w:val="21"/>
        </w:rPr>
        <w:t>design</w:t>
      </w:r>
      <w:r>
        <w:rPr>
          <w:rFonts w:ascii="Garamond" w:hAnsi="Garamond"/>
          <w:sz w:val="21"/>
        </w:rPr>
        <w:t xml:space="preserve"> of the </w:t>
      </w:r>
      <w:r>
        <w:rPr>
          <w:rFonts w:ascii="Garamond" w:hAnsi="Garamond"/>
          <w:sz w:val="21"/>
        </w:rPr>
        <w:t>fusuma door</w:t>
      </w:r>
      <w:r>
        <w:rPr>
          <w:rFonts w:ascii="Garamond" w:hAnsi="Garamond"/>
          <w:sz w:val="21"/>
        </w:rPr>
        <w:t xml:space="preserve"> paintings by Hasegawa Toin (</w:t>
      </w:r>
      <w:r>
        <w:rPr>
          <w:rFonts w:ascii="Garamond" w:hAnsi="Garamond"/>
          <w:sz w:val="21"/>
        </w:rPr>
        <w:t xml:space="preserve">dates </w:t>
      </w:r>
      <w:r>
        <w:rPr>
          <w:rFonts w:ascii="Garamond" w:hAnsi="Garamond"/>
          <w:sz w:val="21"/>
        </w:rPr>
        <w:t>unknown</w:t>
      </w:r>
      <w:r>
        <w:rPr>
          <w:rFonts w:ascii="Garamond" w:hAnsi="Garamond"/>
          <w:sz w:val="21"/>
        </w:rPr>
        <w:t xml:space="preserve">) </w:t>
      </w:r>
      <w:r>
        <w:rPr>
          <w:rFonts w:ascii="Garamond" w:hAnsi="Garamond"/>
          <w:sz w:val="21"/>
        </w:rPr>
        <w:t xml:space="preserve">lend the space a palatial grandeur. </w:t>
      </w:r>
      <w:r>
        <w:rPr>
          <w:rFonts w:ascii="Garamond" w:hAnsi="Garamond"/>
          <w:sz w:val="21"/>
        </w:rPr>
        <w:t xml:space="preserve">The clouds in the </w:t>
      </w:r>
      <w:r>
        <w:rPr>
          <w:rFonts w:ascii="Garamond" w:hAnsi="Garamond"/>
          <w:sz w:val="21"/>
        </w:rPr>
        <w:t>paintings have delicate</w:t>
      </w:r>
      <w:r>
        <w:rPr>
          <w:rFonts w:ascii="Garamond" w:hAnsi="Garamond"/>
          <w:sz w:val="21"/>
        </w:rPr>
        <w:t xml:space="preserve"> raised patterns created by adding artist’s chalk made from crushed seashells before painting the images.</w:t>
      </w:r>
    </w:p>
    <w:p>
      <w:pPr/>
      <w:r>
        <w:rPr>
          <w:rFonts w:ascii="Garamond" w:hAnsi="Garamond"/>
          <w:sz w:val="21"/>
        </w:rPr>
        <w:tab/>
      </w:r>
      <w:r>
        <w:rPr>
          <w:rFonts w:ascii="Garamond" w:hAnsi="Garamond"/>
          <w:sz w:val="21"/>
        </w:rPr>
        <w:t xml:space="preserve">The </w:t>
      </w:r>
      <w:r>
        <w:rPr>
          <w:rFonts w:ascii="Garamond" w:hAnsi="Garamond"/>
          <w:sz w:val="21"/>
        </w:rPr>
        <w:t>fusuma depict</w:t>
      </w:r>
      <w:r>
        <w:rPr>
          <w:rFonts w:ascii="Garamond" w:hAnsi="Garamond"/>
          <w:sz w:val="21"/>
        </w:rPr>
        <w:t xml:space="preserve"> a scene from the Chinese classics</w:t>
      </w:r>
      <w:r>
        <w:rPr>
          <w:rFonts w:ascii="Garamond" w:hAnsi="Garamond"/>
          <w:sz w:val="21"/>
        </w:rPr>
        <w:t xml:space="preserve"> in which</w:t>
      </w:r>
      <w:r>
        <w:rPr>
          <w:rFonts w:ascii="Garamond" w:hAnsi="Garamond"/>
          <w:sz w:val="21"/>
        </w:rPr>
        <w:t xml:space="preserve"> King Wen of Zhou (1152–1056 BCE</w:t>
      </w:r>
      <w:r>
        <w:rPr>
          <w:rFonts w:ascii="Garamond" w:hAnsi="Garamond"/>
          <w:sz w:val="21"/>
        </w:rPr>
        <w:t>) meets</w:t>
      </w:r>
      <w:r>
        <w:rPr>
          <w:rFonts w:ascii="Garamond" w:hAnsi="Garamond"/>
          <w:sz w:val="21"/>
        </w:rPr>
        <w:t xml:space="preserve"> a seemingly ordinary fisherman named Jiang Ziya. King Wen was so impressed by Jiang Ziya’s benevolent world view that he made Ziya his military adviser</w:t>
      </w:r>
      <w:r>
        <w:rPr>
          <w:rFonts w:ascii="Garamond" w:hAnsi="Garamond"/>
          <w:sz w:val="21"/>
        </w:rPr>
        <w:t xml:space="preserve">. </w:t>
      </w:r>
      <w:r>
        <w:rPr>
          <w:rFonts w:ascii="Garamond" w:hAnsi="Garamond"/>
          <w:sz w:val="21"/>
        </w:rPr>
        <w:t>This decision</w:t>
      </w:r>
      <w:r>
        <w:rPr>
          <w:rFonts w:ascii="Garamond" w:hAnsi="Garamond"/>
          <w:sz w:val="21"/>
        </w:rPr>
        <w:t xml:space="preserve"> is </w:t>
      </w:r>
      <w:r>
        <w:rPr>
          <w:rFonts w:ascii="Garamond" w:hAnsi="Garamond"/>
          <w:sz w:val="21"/>
        </w:rPr>
        <w:t>s</w:t>
      </w:r>
      <w:r>
        <w:rPr>
          <w:rFonts w:ascii="Garamond" w:hAnsi="Garamond"/>
          <w:sz w:val="21"/>
        </w:rPr>
        <w:t xml:space="preserve">aid to </w:t>
      </w:r>
      <w:r>
        <w:rPr>
          <w:rFonts w:ascii="Garamond" w:hAnsi="Garamond"/>
          <w:sz w:val="21"/>
        </w:rPr>
        <w:t>have been</w:t>
      </w:r>
      <w:r>
        <w:rPr>
          <w:rFonts w:ascii="Garamond" w:hAnsi="Garamond"/>
          <w:sz w:val="21"/>
        </w:rPr>
        <w:t xml:space="preserve"> the basis for the success of the Zhou dynasty. </w:t>
      </w:r>
      <w:r>
        <w:rPr>
          <w:rFonts w:ascii="Garamond" w:hAnsi="Garamond"/>
          <w:sz w:val="21"/>
        </w:rPr>
        <w:t>The Chinese classics</w:t>
      </w:r>
      <w:r>
        <w:rPr>
          <w:rFonts w:ascii="Garamond" w:hAnsi="Garamond"/>
          <w:sz w:val="21"/>
        </w:rPr>
        <w:t xml:space="preserve"> present</w:t>
      </w:r>
      <w:r>
        <w:rPr>
          <w:rFonts w:ascii="Garamond" w:hAnsi="Garamond"/>
          <w:sz w:val="21"/>
        </w:rPr>
        <w:t xml:space="preserve"> King Wen as a model sovereign, and this scene is a fitting motif for a room used by the ruling Date clan. The room takes its name from the Japanese reading of the name of the Chinese King Wen, which is “Bun</w:t>
      </w:r>
      <w:r>
        <w:rPr>
          <w:rFonts w:ascii="Garamond" w:hAnsi="Garamond"/>
          <w:sz w:val="21"/>
        </w:rPr>
        <w:t>-O.”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