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  <w:t xml:space="preserve">This corridor connects the </w:t>
      </w:r>
      <w:r>
        <w:rPr>
          <w:rFonts w:ascii="Garamond" w:hAnsi="Garamond"/>
          <w:i/>
          <w:sz w:val="21"/>
        </w:rPr>
        <w:t>kuri</w:t>
      </w:r>
      <w:r>
        <w:rPr>
          <w:rFonts w:ascii="Garamond" w:hAnsi="Garamond"/>
          <w:sz w:val="21"/>
        </w:rPr>
        <w:t xml:space="preserve"> to the main hall. The entrance on the southeastern side is used by monks when they are called to prayer by the hanging bronze bell.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