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During his reign, Emperor Meiji (1852–1912) was keen to adopt Western culture and constructs, while maintaining Japan’s age-old traditions. Japanese society followed the Emperor's lead in his adoption of Western technologies and traditions.</w:t>
      </w:r>
    </w:p>
    <w:p>
      <w:pPr/>
    </w:p>
    <w:p>
      <w:pPr/>
      <w:r>
        <w:rPr>
          <w:rFonts w:ascii="Garamond" w:hAnsi="Garamond"/>
        </w:rPr>
        <w:t>The Emperor loved Western cuisine and wine. In memory of Emperor Meiji and his love of French wine, a number of famous wineries in the Bourgogne region of France each donated a barrel of wine to Meiji Jingu in 2006. Wine donated from Burgundy is now offered to the shrine every year.</w:t>
      </w:r>
    </w:p>
    <w:p>
      <w:pPr/>
    </w:p>
    <w:p>
      <w:pPr/>
      <w:r>
        <w:rPr>
          <w:rFonts w:ascii="Garamond" w:hAnsi="Garamond"/>
        </w:rPr>
        <w:t>These barrels are a symbol of the strong intercultural ties enjoyed by France and Japan. They are donated in the expectation of the continued enjoyment of a long and fruitful relationship between the two countries, and with profound gratitude for the spirit of friendship and for world peace.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