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Second Floor</w:t>
      </w:r>
    </w:p>
    <w:p>
      <w:pPr/>
    </w:p>
    <w:p>
      <w:pPr/>
      <w:r>
        <w:rPr>
          <w:rFonts w:ascii="Garamond" w:hAnsi="Garamond"/>
        </w:rPr>
        <w:t xml:space="preserve">The second floor offers a commanding view of the </w:t>
      </w:r>
      <w:r>
        <w:rPr>
          <w:rFonts w:ascii="Garamond" w:hAnsi="Garamond"/>
          <w:i/>
        </w:rPr>
        <w:t>hanamichi</w:t>
      </w:r>
      <w:r>
        <w:rPr>
          <w:rFonts w:ascii="Garamond" w:hAnsi="Garamond"/>
        </w:rPr>
        <w:t xml:space="preserve"> and the stage. It contains boxes on both sides and a section of seating at the back. The latter is called </w:t>
      </w:r>
      <w:r>
        <w:rPr>
          <w:rFonts w:ascii="Garamond" w:hAnsi="Garamond"/>
          <w:i/>
        </w:rPr>
        <w:t xml:space="preserve">muko sajiki </w:t>
      </w:r>
      <w:r>
        <w:rPr>
          <w:rFonts w:ascii="Garamond" w:hAnsi="Garamond"/>
        </w:rPr>
        <w:t>(lit. “the boxes beyond”). This area is divided into three tiers, or sections: front, middle, and rear. These sections are known by the names, “front boat”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maebune</w:t>
      </w:r>
      <w:r>
        <w:rPr>
          <w:rFonts w:ascii="Garamond" w:hAnsi="Garamond"/>
        </w:rPr>
        <w:t>)</w:t>
      </w:r>
      <w:r>
        <w:rPr>
          <w:rFonts w:ascii="Garamond" w:hAnsi="Garamond"/>
        </w:rPr>
        <w:t>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“middle boat”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nakabune</w:t>
      </w:r>
      <w:r>
        <w:rPr>
          <w:rFonts w:ascii="Garamond" w:hAnsi="Garamond"/>
        </w:rPr>
        <w:t>), and “rear boat” (</w:t>
      </w:r>
      <w:r>
        <w:rPr>
          <w:rFonts w:ascii="Garamond" w:hAnsi="Garamond"/>
          <w:i/>
        </w:rPr>
        <w:t>atobune</w:t>
      </w:r>
      <w:r>
        <w:rPr>
          <w:rFonts w:ascii="Garamond" w:hAnsi="Garamond"/>
        </w:rPr>
        <w:t xml:space="preserve">). </w:t>
      </w:r>
    </w:p>
    <w:p>
      <w:pPr/>
    </w:p>
    <w:p>
      <w:pPr/>
      <w:r>
        <w:rPr>
          <w:rFonts w:ascii="Garamond" w:hAnsi="Garamond"/>
        </w:rPr>
        <w:t xml:space="preserve">Historically, there were general admission seats on the first floor, in the section called </w:t>
      </w:r>
      <w:r>
        <w:rPr>
          <w:rFonts w:ascii="Garamond" w:hAnsi="Garamond"/>
          <w:i/>
        </w:rPr>
        <w:t>hinode</w:t>
      </w:r>
      <w:r>
        <w:rPr>
          <w:rFonts w:ascii="Garamond" w:hAnsi="Garamond"/>
        </w:rPr>
        <w:t xml:space="preserve"> next to the </w:t>
      </w:r>
      <w:r>
        <w:rPr>
          <w:rFonts w:ascii="Garamond" w:hAnsi="Garamond"/>
          <w:i/>
        </w:rPr>
        <w:t>hanamichi</w:t>
      </w:r>
      <w:r>
        <w:rPr>
          <w:rFonts w:ascii="Garamond" w:hAnsi="Garamond"/>
        </w:rPr>
        <w:t xml:space="preserve"> on the side away from the stage. This seating area is not divided into sections. The name </w:t>
      </w:r>
      <w:r>
        <w:rPr>
          <w:rFonts w:ascii="Garamond" w:hAnsi="Garamond"/>
          <w:i/>
        </w:rPr>
        <w:t>hinode</w:t>
      </w:r>
      <w:r>
        <w:rPr>
          <w:rFonts w:ascii="Garamond" w:hAnsi="Garamond"/>
        </w:rPr>
        <w:t xml:space="preserve"> (“sunrise”) relates to its location, on the east side. </w:t>
      </w:r>
      <w:r>
        <w:rPr>
          <w:rFonts w:ascii="Garamond" w:hAnsi="Garamond"/>
          <w:i/>
        </w:rPr>
        <w:t>Hinode</w:t>
      </w:r>
      <w:r>
        <w:rPr>
          <w:rFonts w:ascii="Garamond" w:hAnsi="Garamond"/>
        </w:rPr>
        <w:t xml:space="preserve"> means “rising sun.”</w:t>
      </w:r>
    </w:p>
    <w:p>
      <w:pPr/>
    </w:p>
    <w:p>
      <w:pPr/>
      <w:r>
        <w:rPr>
          <w:rFonts w:ascii="Garamond" w:hAnsi="Garamond"/>
        </w:rPr>
        <w:t>* For performances of Shikoku Konpira Kabuki Oshibai, the names of the seating sections may be slightly different.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