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The Macaroni Factory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Due to its resemblance to a Japanese rice granary, the Macaroni Factory was also referred to as the storehouse. According to Father </w:t>
      </w:r>
      <w:r>
        <w:rPr>
          <w:rFonts w:ascii="Garamond" w:hAnsi="Garamond"/>
        </w:rPr>
        <w:t>d</w:t>
      </w:r>
      <w:r>
        <w:rPr>
          <w:rFonts w:ascii="Garamond" w:hAnsi="Garamond"/>
        </w:rPr>
        <w:t>e Rotz’s records, among other items the room held a machine imported from the West to produce both macaroni and other pasta; however, only a cast-iron cooking stove and pasta recipes devised by de Rotz remain today. The pasta produced in the Macaroni Factory seems to have been popular with foreigners living in Nagasaki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they </w:t>
      </w:r>
      <w:r>
        <w:rPr>
          <w:rFonts w:ascii="Garamond" w:hAnsi="Garamond"/>
        </w:rPr>
        <w:t>were probably</w:t>
      </w:r>
      <w:r>
        <w:rPr>
          <w:rFonts w:ascii="Garamond" w:hAnsi="Garamond"/>
        </w:rPr>
        <w:t xml:space="preserve"> the main customers.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