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Religious Practice and Daily Life</w:t>
      </w:r>
    </w:p>
    <w:p>
      <w:pPr/>
      <w:r>
        <w:rPr>
          <w:rFonts w:ascii="Garamond" w:hAnsi="Garamond"/>
        </w:rPr>
        <w:t>Life and Marriage</w:t>
      </w:r>
    </w:p>
    <w:p>
      <w:pPr/>
      <w:r>
        <w:rPr>
          <w:rFonts w:ascii="Garamond" w:hAnsi="Garamond"/>
        </w:rPr>
        <w:t>Altar on the Second Floor of the Former Vocational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</w:p>
    <w:p>
      <w:pPr/>
      <w:r>
        <w:rPr>
          <w:rFonts w:ascii="Garamond" w:hAnsi="Garamond"/>
        </w:rPr>
        <w:t>Organ Brought to Japan by Father de Rotz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At the Center,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and the women who worked and lived there together led extremely frugal lifestyles. De Rotz gave much of their earnings to the poor and people in unfortunate circumstances.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De Rotz not only helped the women of The Center to become independent through their work and </w:t>
      </w:r>
      <w:r>
        <w:rPr>
          <w:rFonts w:ascii="Garamond" w:hAnsi="Garamond"/>
        </w:rPr>
        <w:t>skills</w:t>
      </w:r>
      <w:r>
        <w:rPr>
          <w:rFonts w:ascii="Garamond" w:hAnsi="Garamond"/>
        </w:rPr>
        <w:t xml:space="preserve"> but, in some cases, also aided with wedding ceremony preparations for those who wished to get married. Documents reveal that when weddings occurred, it was customary to have a celebratory meal with white rice to honor the bride.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