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Tadewara Marsh</w:t>
      </w:r>
    </w:p>
    <w:p>
      <w:pPr/>
    </w:p>
    <w:p>
      <w:pPr/>
      <w:r>
        <w:rPr>
          <w:rFonts w:ascii="Garamond" w:hAnsi="Garamond"/>
        </w:rPr>
        <w:t>The Tadewara Marsh is situated on the northwest side of the Kuju Mountain Range at an elevation of approximately 1,000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m. Due to Kuju’s geographical location, geological structure, and heavy annual rainfall (more than 2,500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mm), mineral-rich groundwater collects in the strata. The porous volcanic soil and open grassland areas collect rainwater in natural underground reservoirs. These waters well up in lower lying areas, creating a range of freshwater environments such as springs, ponds, and marshes.</w:t>
      </w:r>
    </w:p>
    <w:p>
      <w:pPr/>
    </w:p>
    <w:p>
      <w:pPr/>
      <w:r>
        <w:rPr>
          <w:rFonts w:ascii="Garamond" w:hAnsi="Garamond"/>
        </w:rPr>
        <w:t xml:space="preserve">Tadewara Marsh is one of Kuju’s typical freshwater environments. Created by the upwelling of fresh spring water draining from the surrounding mountains, Tadewara is a valley rich with plant and animal life. Freshwater reeds and other marsh plants support the rare aquatic insects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form the basis of a thriving ecosystem throughout the year.</w:t>
      </w:r>
    </w:p>
    <w:p>
      <w:pPr/>
    </w:p>
    <w:p>
      <w:pPr/>
      <w:r>
        <w:rPr>
          <w:rFonts w:ascii="Garamond" w:hAnsi="Garamond"/>
        </w:rPr>
        <w:t>In 2005, Tadewara and Bogatsuru were designated as Wetlands of International Importance under the Ramsar Convention, thus protecting and preserving these unique natural habitats.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