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4A1B" w14:textId="77777777" w:rsidR="00D16750" w:rsidRDefault="00D16750" w:rsidP="00D16750">
      <w:pPr>
        <w:tabs>
          <w:tab w:val="left" w:pos="284"/>
        </w:tabs>
        <w:adjustRightInd w:val="0"/>
        <w:snapToGrid w:val="0"/>
        <w:spacing w:line="360" w:lineRule="exact"/>
        <w:rPr>
          <w:rFonts w:ascii="Times New Roman" w:eastAsia="Meiryo UI" w:hAnsi="Times New Roman"/>
        </w:rPr>
      </w:pPr>
      <w:r>
        <w:rPr>
          <w:rFonts w:ascii="Times New Roman" w:eastAsia="Meiryo UI" w:hAnsi="Times New Roman"/>
          <w:b/>
        </w:rPr>
        <w:t>Lady Tachibana Shrine</w:t>
      </w:r>
    </w:p>
    <w:p w14:paraId="3FD5CC25" w14:textId="77777777" w:rsidR="00D16750" w:rsidRDefault="00D16750" w:rsidP="00D16750">
      <w:pPr>
        <w:tabs>
          <w:tab w:val="left" w:pos="284"/>
        </w:tabs>
        <w:adjustRightInd w:val="0"/>
        <w:snapToGrid w:val="0"/>
        <w:spacing w:line="360" w:lineRule="exact"/>
        <w:rPr>
          <w:rFonts w:ascii="Times New Roman" w:eastAsia="Meiryo UI" w:hAnsi="Times New Roman"/>
        </w:rPr>
      </w:pPr>
    </w:p>
    <w:p w14:paraId="08057539" w14:textId="77777777" w:rsidR="00D16750" w:rsidRDefault="00D16750" w:rsidP="00D16750">
      <w:pPr>
        <w:adjustRightInd w:val="0"/>
        <w:snapToGrid w:val="0"/>
        <w:spacing w:line="360" w:lineRule="exact"/>
        <w:rPr>
          <w:rFonts w:ascii="Times New Roman" w:eastAsia="Meiryo UI" w:hAnsi="Times New Roman"/>
          <w:shd w:val="clear" w:color="auto" w:fill="FFFFFF"/>
        </w:rPr>
      </w:pPr>
      <w:r>
        <w:rPr>
          <w:rFonts w:ascii="Times New Roman" w:eastAsia="Meiryo UI" w:hAnsi="Times New Roman"/>
        </w:rPr>
        <w:t xml:space="preserve">Lady Tachibana was the mother of Empress </w:t>
      </w:r>
      <w:r>
        <w:rPr>
          <w:rFonts w:ascii="Times New Roman" w:eastAsia="Meiryo UI" w:hAnsi="Times New Roman"/>
          <w:bCs/>
        </w:rPr>
        <w:t>Komyo</w:t>
      </w:r>
      <w:r>
        <w:rPr>
          <w:rFonts w:ascii="Times New Roman" w:eastAsia="Meiryo UI" w:hAnsi="Times New Roman"/>
        </w:rPr>
        <w:t xml:space="preserve"> (</w:t>
      </w:r>
      <w:r>
        <w:rPr>
          <w:rFonts w:ascii="Times New Roman" w:eastAsia="Meiryo UI" w:hAnsi="Times New Roman"/>
          <w:shd w:val="clear" w:color="auto" w:fill="FFFFFF"/>
        </w:rPr>
        <w:t xml:space="preserve">701–760), who was the consort of </w:t>
      </w:r>
      <w:r>
        <w:rPr>
          <w:rFonts w:ascii="Times New Roman" w:eastAsia="Meiryo UI" w:hAnsi="Times New Roman"/>
          <w:bCs/>
        </w:rPr>
        <w:t>Emperor Shomu</w:t>
      </w:r>
      <w:r>
        <w:rPr>
          <w:rFonts w:ascii="Times New Roman" w:eastAsia="Meiryo UI" w:hAnsi="Times New Roman"/>
        </w:rPr>
        <w:t xml:space="preserve"> (701–756)</w:t>
      </w:r>
      <w:r>
        <w:rPr>
          <w:rFonts w:ascii="Times New Roman" w:eastAsia="Meiryo UI" w:hAnsi="Times New Roman"/>
          <w:shd w:val="clear" w:color="auto" w:fill="FFFFFF"/>
        </w:rPr>
        <w:t xml:space="preserve">, Japan’s 45th emperor. Lady Tachibana may have prayed before this wooden altar-shrine containing a remarkably detailed bronze Amida triad that dates back to the </w:t>
      </w:r>
      <w:r>
        <w:rPr>
          <w:rFonts w:ascii="Times New Roman" w:eastAsia="Meiryo UI" w:hAnsi="Times New Roman"/>
        </w:rPr>
        <w:t xml:space="preserve">second half of the seventh century. </w:t>
      </w:r>
      <w:r>
        <w:rPr>
          <w:rFonts w:ascii="Times New Roman" w:eastAsia="Meiryo UI" w:hAnsi="Times New Roman"/>
          <w:shd w:val="clear" w:color="auto" w:fill="FFFFFF"/>
        </w:rPr>
        <w:t>The Amida triad consists of the Amida Buddha and two bodhisattvas</w:t>
      </w:r>
      <w:r>
        <w:rPr>
          <w:rFonts w:ascii="Times New Roman" w:eastAsia="Meiryo UI" w:hAnsi="Times New Roman"/>
        </w:rPr>
        <w:t xml:space="preserve"> </w:t>
      </w:r>
      <w:r>
        <w:rPr>
          <w:rFonts w:ascii="Times New Roman" w:eastAsia="Meiryo UI" w:hAnsi="Times New Roman"/>
          <w:shd w:val="clear" w:color="auto" w:fill="FFFFFF"/>
        </w:rPr>
        <w:t xml:space="preserve">seated on lotus flower thrones. </w:t>
      </w:r>
    </w:p>
    <w:p w14:paraId="546EADA6" w14:textId="77777777" w:rsidR="00D16750" w:rsidRDefault="00D16750" w:rsidP="00D16750">
      <w:pPr>
        <w:adjustRightInd w:val="0"/>
        <w:snapToGrid w:val="0"/>
        <w:spacing w:line="360" w:lineRule="exact"/>
        <w:rPr>
          <w:rFonts w:ascii="Times New Roman" w:eastAsia="Meiryo UI" w:hAnsi="Times New Roman"/>
          <w:shd w:val="clear" w:color="auto" w:fill="FFFFFF"/>
        </w:rPr>
      </w:pPr>
    </w:p>
    <w:p w14:paraId="35089E02" w14:textId="77777777" w:rsidR="00D16750" w:rsidRDefault="00D16750" w:rsidP="00D16750">
      <w:pPr>
        <w:tabs>
          <w:tab w:val="left" w:pos="284"/>
        </w:tabs>
        <w:adjustRightInd w:val="0"/>
        <w:snapToGrid w:val="0"/>
        <w:spacing w:line="360" w:lineRule="exact"/>
        <w:rPr>
          <w:rFonts w:ascii="Times New Roman" w:eastAsia="Meiryo UI" w:hAnsi="Times New Roman"/>
          <w:shd w:val="clear" w:color="auto" w:fill="FFFFFF"/>
        </w:rPr>
      </w:pPr>
      <w:r>
        <w:rPr>
          <w:rFonts w:ascii="Times New Roman" w:eastAsia="Meiryo UI" w:hAnsi="Times New Roman"/>
          <w:shd w:val="clear" w:color="auto" w:fill="FFFFFF"/>
        </w:rPr>
        <w:t xml:space="preserve">The lotus flower is important in Buddhist iconography because it emerges from the mud at the bottom of a pond, but its </w:t>
      </w:r>
      <w:r>
        <w:rPr>
          <w:rFonts w:ascii="Times New Roman" w:eastAsia="Meiryo UI" w:hAnsi="Times New Roman"/>
          <w:bCs/>
        </w:rPr>
        <w:t>flowers blossom</w:t>
      </w:r>
      <w:r>
        <w:rPr>
          <w:rFonts w:ascii="Times New Roman" w:eastAsia="Meiryo UI" w:hAnsi="Times New Roman"/>
          <w:shd w:val="clear" w:color="auto" w:fill="FFFFFF"/>
        </w:rPr>
        <w:t xml:space="preserve"> on long stalks as if floating above murky waters, such as of earthly struggles with attachment and desire. It is because the world is full of such desires that the possibility of enlightenment exists.</w:t>
      </w:r>
    </w:p>
    <w:p w14:paraId="26A2915D" w14:textId="77777777" w:rsidR="00D16750" w:rsidRDefault="00D16750" w:rsidP="00D16750">
      <w:pPr>
        <w:tabs>
          <w:tab w:val="left" w:pos="284"/>
        </w:tabs>
        <w:adjustRightInd w:val="0"/>
        <w:snapToGrid w:val="0"/>
        <w:spacing w:line="360" w:lineRule="exact"/>
        <w:rPr>
          <w:rFonts w:ascii="Times New Roman" w:eastAsia="Meiryo UI" w:hAnsi="Times New Roman"/>
          <w:shd w:val="clear" w:color="auto" w:fill="FFFFFF"/>
        </w:rPr>
      </w:pPr>
    </w:p>
    <w:p w14:paraId="45AF6012" w14:textId="77777777" w:rsidR="00D16750" w:rsidRDefault="00D16750" w:rsidP="00D16750">
      <w:pPr>
        <w:tabs>
          <w:tab w:val="left" w:pos="284"/>
        </w:tabs>
        <w:adjustRightInd w:val="0"/>
        <w:snapToGrid w:val="0"/>
        <w:spacing w:line="360" w:lineRule="exact"/>
        <w:rPr>
          <w:rFonts w:ascii="Times New Roman" w:eastAsia="Meiryo UI" w:hAnsi="Times New Roman"/>
        </w:rPr>
      </w:pPr>
      <w:r>
        <w:rPr>
          <w:rFonts w:ascii="Times New Roman" w:eastAsia="Meiryo UI" w:hAnsi="Times New Roman"/>
          <w:shd w:val="clear" w:color="auto" w:fill="FFFFFF"/>
        </w:rPr>
        <w:t xml:space="preserve"> The shrine is decorated on the sides with images of various bodhisattvas and figures of the Four Guardian Kings (Shitenno) and displays the influence of other cultures on Japanese culture during this period. The shrine is considered to represent a peak in the development of Far Eastern art. </w:t>
      </w:r>
    </w:p>
    <w:p w14:paraId="292953B4" w14:textId="77777777" w:rsidR="00BF5B76" w:rsidRPr="00D16750" w:rsidRDefault="00BF5B76" w:rsidP="00D16750"/>
    <w:sectPr w:rsidR="00BF5B76" w:rsidRPr="00D167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16750"/>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110373">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2022-10-24T07:13:00Z</dcterms:created>
  <dcterms:modified xsi:type="dcterms:W3CDTF">2022-10-24T07:13:00Z</dcterms:modified>
</cp:coreProperties>
</file>