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280A" w14:textId="77777777" w:rsidR="005D63B3" w:rsidRDefault="005D63B3" w:rsidP="005D63B3">
      <w:pPr>
        <w:rPr>
          <w:rFonts w:ascii="Times New Roman" w:eastAsia="ＭＳ 明朝" w:hAnsi="Times New Roman" w:cs="Times New Roman"/>
          <w:b/>
          <w:color w:val="000000"/>
        </w:rPr>
      </w:pPr>
      <w:r>
        <w:rPr>
          <w:rFonts w:ascii="Times New Roman" w:eastAsia="ＭＳ 明朝" w:hAnsi="Times New Roman" w:cs="Times New Roman"/>
          <w:b/>
          <w:color w:val="000000"/>
        </w:rPr>
        <w:t xml:space="preserve">Ganjin’s Well </w:t>
      </w:r>
    </w:p>
    <w:p w14:paraId="60F9024A" w14:textId="77777777" w:rsidR="005D63B3" w:rsidRDefault="005D63B3" w:rsidP="005D63B3">
      <w:pPr>
        <w:rPr>
          <w:rFonts w:ascii="Times New Roman" w:eastAsia="ＭＳ 明朝" w:hAnsi="Times New Roman" w:cs="Times New Roman"/>
          <w:color w:val="000000"/>
        </w:rPr>
      </w:pPr>
    </w:p>
    <w:p w14:paraId="4BD9B7FC" w14:textId="77777777" w:rsidR="005D63B3" w:rsidRDefault="005D63B3" w:rsidP="005D63B3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In the northwest corner of the temple complex is a well that is thought to have been excavated under Ganjin’s supervision. Even today water can be drawn here, a reflection of the temple’s abundant water reserves. </w:t>
      </w:r>
    </w:p>
    <w:p w14:paraId="7A7415FC" w14:textId="77777777" w:rsidR="005D63B3" w:rsidRDefault="005D63B3" w:rsidP="005D63B3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  <w:lang w:val="en-US"/>
        </w:rPr>
      </w:pPr>
    </w:p>
    <w:p w14:paraId="527C63C6" w14:textId="77777777" w:rsidR="005D63B3" w:rsidRDefault="005D63B3" w:rsidP="005D63B3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The entire grounds of Toshodaiji is moist year-round, with several ponds and a channel running alongside the Ordination Platform that is fed by the well’s overflow. In addition, the temple premises are enclosed by the Akishino River and its sluiceways; and Ganjin’s grave in the northeastern corner is located on a small “island” encircled by a modest moat, which is accessed via a shady, moss-lined path and a small stone bridge. This abundance of water means that Toshodaiji is blessed with lush vegetation, and a wide variety of flowers bloom within the temple precincts throughout the year. </w:t>
      </w:r>
    </w:p>
    <w:p w14:paraId="090C8D42" w14:textId="77777777" w:rsidR="005D63B3" w:rsidRDefault="005D63B3" w:rsidP="005D63B3">
      <w:pPr>
        <w:tabs>
          <w:tab w:val="left" w:pos="284"/>
        </w:tabs>
        <w:snapToGrid w:val="0"/>
        <w:spacing w:line="320" w:lineRule="exact"/>
        <w:rPr>
          <w:rFonts w:ascii="Times New Roman" w:hAnsi="Times New Roman" w:cs="Times New Roman"/>
          <w:color w:val="auto"/>
          <w:lang w:val="en-US"/>
        </w:rPr>
      </w:pPr>
    </w:p>
    <w:p w14:paraId="4193C6C9" w14:textId="77777777" w:rsidR="005D63B3" w:rsidRDefault="005D63B3" w:rsidP="005D63B3">
      <w:pPr>
        <w:spacing w:line="0" w:lineRule="atLeast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According to legend, Ganjin instantly recognized these favorable conditions when he first came to survey the prospective temple grounds offered to him by Niitabe  Shinno, a grandson of Emperor Tenmu </w:t>
      </w:r>
      <w:r>
        <w:rPr>
          <w:rFonts w:ascii="Times New Roman" w:eastAsia="Helvetica" w:hAnsi="Times New Roman" w:cs="Times New Roman"/>
          <w:bCs/>
          <w:color w:val="auto"/>
          <w:lang w:val="en-US"/>
        </w:rPr>
        <w:t>(631–686), who had a residence there</w:t>
      </w:r>
      <w:r>
        <w:rPr>
          <w:rFonts w:ascii="Times New Roman" w:hAnsi="Times New Roman" w:cs="Times New Roman"/>
          <w:color w:val="auto"/>
          <w:lang w:val="en-US"/>
        </w:rPr>
        <w:t>. Ganjin, who could not see the land due to his blindness, is said to have taken a taste of the earth, and immediately deemed it to be a place that would bring good fortune, happiness, and prosperity to those who dwelt there. He subsequently ordered the digging of a well in the grounds, which he felt was well situated according to the rules of traditional Chinese divination. The pine grove near the well was the location of Ganjin’s residence.</w:t>
      </w:r>
    </w:p>
    <w:p w14:paraId="73741B8F" w14:textId="77777777" w:rsidR="00B52764" w:rsidRPr="005D63B3" w:rsidRDefault="00B52764" w:rsidP="005D63B3">
      <w:pPr>
        <w:rPr>
          <w:rFonts w:hint="eastAsia"/>
        </w:rPr>
      </w:pPr>
    </w:p>
    <w:sectPr w:rsidR="00B52764" w:rsidRPr="005D63B3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D63B3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2022-10-24T07:34:00Z</dcterms:created>
  <dcterms:modified xsi:type="dcterms:W3CDTF">2022-10-24T07:34:00Z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