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B8E37" w14:textId="45CF383D" w:rsidR="003829C8" w:rsidRDefault="003829C8" w:rsidP="003829C8">
      <w:pPr>
        <w:spacing w:line="0" w:lineRule="atLeast"/>
        <w:rPr>
          <w:rFonts w:ascii="Times New Roman" w:eastAsia="メイリオ" w:hAnsi="Times New Roman" w:cs="Times New Roman"/>
          <w:b/>
          <w:sz w:val="24"/>
          <w:szCs w:val="24"/>
          <w:lang w:val="en"/>
        </w:rPr>
      </w:pPr>
      <w:r>
        <w:rPr>
          <w:rFonts w:ascii="Times New Roman" w:eastAsia="メイリオ" w:hAnsi="Times New Roman" w:cs="Times New Roman"/>
          <w:b/>
          <w:sz w:val="24"/>
          <w:szCs w:val="24"/>
          <w:lang w:val="en"/>
        </w:rPr>
        <w:t>Miyajima History and Folklore Museum: Exhibition Room D</w:t>
      </w:r>
    </w:p>
    <w:p w14:paraId="4BEBB11E" w14:textId="77777777" w:rsidR="003829C8" w:rsidRDefault="003829C8" w:rsidP="003829C8">
      <w:pPr>
        <w:spacing w:line="0" w:lineRule="atLeast"/>
        <w:rPr>
          <w:rFonts w:ascii="Times New Roman" w:eastAsia="メイリオ" w:hAnsi="Times New Roman" w:cs="Times New Roman"/>
          <w:b/>
          <w:sz w:val="24"/>
          <w:szCs w:val="24"/>
          <w:lang w:val="en"/>
        </w:rPr>
      </w:pPr>
      <w:r>
        <w:rPr>
          <w:rFonts w:ascii="Times New Roman" w:eastAsia="メイリオ" w:hAnsi="Times New Roman" w:cs="Times New Roman"/>
          <w:b/>
          <w:sz w:val="24"/>
          <w:szCs w:val="24"/>
          <w:lang w:val="en"/>
        </w:rPr>
        <w:t xml:space="preserve"> </w:t>
      </w:r>
    </w:p>
    <w:p w14:paraId="2BF69D46" w14:textId="77777777" w:rsidR="003829C8" w:rsidRDefault="003829C8" w:rsidP="003829C8">
      <w:pPr>
        <w:spacing w:line="0" w:lineRule="atLeast"/>
        <w:rPr>
          <w:rFonts w:ascii="Times New Roman" w:eastAsia="メイリオ" w:hAnsi="Times New Roman" w:cs="Times New Roman"/>
          <w:sz w:val="24"/>
          <w:szCs w:val="24"/>
          <w:lang w:val="en"/>
        </w:rPr>
      </w:pPr>
      <w:r>
        <w:rPr>
          <w:rFonts w:ascii="Times New Roman" w:eastAsia="メイリオ" w:hAnsi="Times New Roman" w:cs="Times New Roman"/>
          <w:sz w:val="24"/>
          <w:szCs w:val="24"/>
          <w:lang w:val="en"/>
        </w:rPr>
        <w:t>Exhibition Room D is a modern two-story building with exhibits focused on both the history of Itsukushima Shrine from the twelfth century onward and on artwork and other imagery related to Miyajima.</w:t>
      </w:r>
    </w:p>
    <w:p w14:paraId="2EFC43F2" w14:textId="77777777" w:rsidR="003829C8" w:rsidRDefault="003829C8" w:rsidP="003829C8">
      <w:pPr>
        <w:spacing w:line="0" w:lineRule="atLeast"/>
        <w:rPr>
          <w:rFonts w:ascii="Times New Roman" w:eastAsia="メイリオ" w:hAnsi="Times New Roman" w:cs="Times New Roman"/>
          <w:sz w:val="24"/>
          <w:szCs w:val="24"/>
          <w:lang w:val="en"/>
        </w:rPr>
      </w:pPr>
      <w:r>
        <w:rPr>
          <w:rFonts w:ascii="Times New Roman" w:eastAsia="メイリオ" w:hAnsi="Times New Roman" w:cs="Times New Roman"/>
          <w:sz w:val="24"/>
          <w:szCs w:val="24"/>
          <w:lang w:val="en"/>
        </w:rPr>
        <w:t xml:space="preserve"> </w:t>
      </w:r>
    </w:p>
    <w:p w14:paraId="1EC779A0" w14:textId="77777777" w:rsidR="003829C8" w:rsidRDefault="003829C8" w:rsidP="003829C8">
      <w:pPr>
        <w:spacing w:line="0" w:lineRule="atLeast"/>
        <w:rPr>
          <w:rFonts w:ascii="Times New Roman" w:eastAsia="メイリオ" w:hAnsi="Times New Roman" w:cs="Times New Roman"/>
          <w:sz w:val="24"/>
          <w:szCs w:val="24"/>
          <w:lang w:val="en"/>
        </w:rPr>
      </w:pPr>
      <w:r>
        <w:rPr>
          <w:rFonts w:ascii="Times New Roman" w:eastAsia="メイリオ" w:hAnsi="Times New Roman" w:cs="Times New Roman"/>
          <w:sz w:val="24"/>
          <w:szCs w:val="24"/>
          <w:lang w:val="en"/>
        </w:rPr>
        <w:t xml:space="preserve">The first floor is dedicated to Itsukushima Shrine and Taira no Kiyomori (1118–1181), the powerful political figure of the Heian period who played a key part in introducing the aristocratic culture of Kyoto to Miyajima and greatly raised the shrine’s profile among the capital’s elite. Kiyomori’s exploits and Miyajima’s dramatic history are detailed in a video subtitled in English. Other displays connect Miyajima to events in the </w:t>
      </w:r>
      <w:r>
        <w:rPr>
          <w:rFonts w:ascii="Times New Roman" w:eastAsia="メイリオ" w:hAnsi="Times New Roman" w:cs="Times New Roman"/>
          <w:i/>
          <w:sz w:val="24"/>
          <w:szCs w:val="24"/>
          <w:lang w:val="en"/>
        </w:rPr>
        <w:t>Tale of the Heike</w:t>
      </w:r>
      <w:r>
        <w:rPr>
          <w:rFonts w:ascii="Times New Roman" w:eastAsia="メイリオ" w:hAnsi="Times New Roman" w:cs="Times New Roman"/>
          <w:sz w:val="24"/>
          <w:szCs w:val="24"/>
          <w:lang w:val="en"/>
        </w:rPr>
        <w:t>, the epic account of the late-twelfth-century conflict between Kiyomori’s Taira clan and the rival Minamoto clan.</w:t>
      </w:r>
    </w:p>
    <w:p w14:paraId="6591B961" w14:textId="77777777" w:rsidR="003829C8" w:rsidRDefault="003829C8" w:rsidP="003829C8">
      <w:pPr>
        <w:spacing w:line="0" w:lineRule="atLeast"/>
        <w:rPr>
          <w:rFonts w:ascii="Times New Roman" w:eastAsia="メイリオ" w:hAnsi="Times New Roman" w:cs="Times New Roman"/>
          <w:sz w:val="24"/>
          <w:szCs w:val="24"/>
          <w:lang w:val="en"/>
        </w:rPr>
      </w:pPr>
      <w:r>
        <w:rPr>
          <w:rFonts w:ascii="Times New Roman" w:eastAsia="メイリオ" w:hAnsi="Times New Roman" w:cs="Times New Roman"/>
          <w:sz w:val="24"/>
          <w:szCs w:val="24"/>
          <w:lang w:val="en"/>
        </w:rPr>
        <w:t xml:space="preserve"> </w:t>
      </w:r>
    </w:p>
    <w:p w14:paraId="2281984E" w14:textId="77777777" w:rsidR="003829C8" w:rsidRDefault="003829C8" w:rsidP="003829C8">
      <w:pPr>
        <w:spacing w:line="0" w:lineRule="atLeast"/>
        <w:rPr>
          <w:rFonts w:ascii="Times New Roman" w:eastAsia="メイリオ" w:hAnsi="Times New Roman" w:cs="Times New Roman"/>
          <w:sz w:val="24"/>
          <w:szCs w:val="24"/>
          <w:lang w:val="en"/>
        </w:rPr>
      </w:pPr>
      <w:r>
        <w:rPr>
          <w:rFonts w:ascii="Times New Roman" w:eastAsia="メイリオ" w:hAnsi="Times New Roman" w:cs="Times New Roman"/>
          <w:sz w:val="24"/>
          <w:szCs w:val="24"/>
          <w:lang w:val="en"/>
        </w:rPr>
        <w:t>The exhibition on the second floor highlights paintings, maps, photographs, guidebooks, and other documents with a connection to Miyajima. Most of these are from the Edo period (1603–1868) and include detailed, map-like depictions of the island painted on folding screens, materials related to kabuki plays performed on Miyajima in the Edo period, and ukiyo-e prints by Utagawa Hiroshige (1797–1858) and his twentieth-century successor Kawase Hasui (1883–1957).</w:t>
      </w:r>
    </w:p>
    <w:p w14:paraId="43B84F16" w14:textId="77777777" w:rsidR="006D7072" w:rsidRPr="003829C8" w:rsidRDefault="006D7072" w:rsidP="003829C8"/>
    <w:sectPr w:rsidR="006D7072" w:rsidRPr="003829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B607" w14:textId="77777777" w:rsidR="00DE5815" w:rsidRDefault="00DE5815" w:rsidP="002A6075">
      <w:r>
        <w:separator/>
      </w:r>
    </w:p>
  </w:endnote>
  <w:endnote w:type="continuationSeparator" w:id="0">
    <w:p w14:paraId="057794C7" w14:textId="77777777" w:rsidR="00DE5815" w:rsidRDefault="00DE581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07DAF" w14:textId="77777777" w:rsidR="00DE5815" w:rsidRDefault="00DE5815" w:rsidP="002A6075">
      <w:r>
        <w:separator/>
      </w:r>
    </w:p>
  </w:footnote>
  <w:footnote w:type="continuationSeparator" w:id="0">
    <w:p w14:paraId="423DBC3F" w14:textId="77777777" w:rsidR="00DE5815" w:rsidRDefault="00DE5815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E725E"/>
    <w:multiLevelType w:val="hybridMultilevel"/>
    <w:tmpl w:val="D45432D6"/>
    <w:lvl w:ilvl="0" w:tplc="54A00C1C">
      <w:start w:val="1"/>
      <w:numFmt w:val="decimal"/>
      <w:lvlText w:val="%1.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23D6"/>
    <w:rsid w:val="000357C4"/>
    <w:rsid w:val="00054989"/>
    <w:rsid w:val="00057493"/>
    <w:rsid w:val="000B0DA4"/>
    <w:rsid w:val="000B5F14"/>
    <w:rsid w:val="000D1090"/>
    <w:rsid w:val="000D341F"/>
    <w:rsid w:val="001224BA"/>
    <w:rsid w:val="00151812"/>
    <w:rsid w:val="00165D03"/>
    <w:rsid w:val="00185E27"/>
    <w:rsid w:val="001A0E90"/>
    <w:rsid w:val="001B34A5"/>
    <w:rsid w:val="0023046F"/>
    <w:rsid w:val="002544D1"/>
    <w:rsid w:val="00265AA3"/>
    <w:rsid w:val="00267B06"/>
    <w:rsid w:val="00274C03"/>
    <w:rsid w:val="00284E10"/>
    <w:rsid w:val="002A6075"/>
    <w:rsid w:val="002B431F"/>
    <w:rsid w:val="002D0CD6"/>
    <w:rsid w:val="002E24B7"/>
    <w:rsid w:val="002E45C9"/>
    <w:rsid w:val="003065AE"/>
    <w:rsid w:val="00355331"/>
    <w:rsid w:val="0038091E"/>
    <w:rsid w:val="003824F4"/>
    <w:rsid w:val="003829C8"/>
    <w:rsid w:val="003855B2"/>
    <w:rsid w:val="00395717"/>
    <w:rsid w:val="003B5484"/>
    <w:rsid w:val="003B648F"/>
    <w:rsid w:val="003B7E88"/>
    <w:rsid w:val="003C428A"/>
    <w:rsid w:val="003C4D57"/>
    <w:rsid w:val="003F5B24"/>
    <w:rsid w:val="0041082C"/>
    <w:rsid w:val="00415DBB"/>
    <w:rsid w:val="00433F57"/>
    <w:rsid w:val="004455F4"/>
    <w:rsid w:val="004638C5"/>
    <w:rsid w:val="004722F0"/>
    <w:rsid w:val="004A1DBE"/>
    <w:rsid w:val="004B2555"/>
    <w:rsid w:val="004B2AFB"/>
    <w:rsid w:val="004B6634"/>
    <w:rsid w:val="004D67AC"/>
    <w:rsid w:val="004D7B09"/>
    <w:rsid w:val="004F4AB3"/>
    <w:rsid w:val="00513734"/>
    <w:rsid w:val="00532741"/>
    <w:rsid w:val="005346CE"/>
    <w:rsid w:val="00542A92"/>
    <w:rsid w:val="00581543"/>
    <w:rsid w:val="00606451"/>
    <w:rsid w:val="00610462"/>
    <w:rsid w:val="006140F9"/>
    <w:rsid w:val="00615161"/>
    <w:rsid w:val="0061687A"/>
    <w:rsid w:val="00624F6F"/>
    <w:rsid w:val="00637D4D"/>
    <w:rsid w:val="00644896"/>
    <w:rsid w:val="006B4F99"/>
    <w:rsid w:val="006B6CFD"/>
    <w:rsid w:val="006C52B1"/>
    <w:rsid w:val="006D1B8B"/>
    <w:rsid w:val="006D6D86"/>
    <w:rsid w:val="006D704A"/>
    <w:rsid w:val="006D7072"/>
    <w:rsid w:val="006F2D4E"/>
    <w:rsid w:val="00716281"/>
    <w:rsid w:val="00721860"/>
    <w:rsid w:val="00726FBA"/>
    <w:rsid w:val="00727F9F"/>
    <w:rsid w:val="0073236E"/>
    <w:rsid w:val="00743FCF"/>
    <w:rsid w:val="00763700"/>
    <w:rsid w:val="007661DD"/>
    <w:rsid w:val="00770BCE"/>
    <w:rsid w:val="0077425B"/>
    <w:rsid w:val="0078087A"/>
    <w:rsid w:val="00786704"/>
    <w:rsid w:val="0079196E"/>
    <w:rsid w:val="007A415D"/>
    <w:rsid w:val="007B24F2"/>
    <w:rsid w:val="007B3E64"/>
    <w:rsid w:val="007C2A1D"/>
    <w:rsid w:val="007D7EAB"/>
    <w:rsid w:val="007F1B68"/>
    <w:rsid w:val="007F3050"/>
    <w:rsid w:val="00831FEC"/>
    <w:rsid w:val="00841C34"/>
    <w:rsid w:val="008507C6"/>
    <w:rsid w:val="00856171"/>
    <w:rsid w:val="0088645F"/>
    <w:rsid w:val="008B521B"/>
    <w:rsid w:val="008C6DC6"/>
    <w:rsid w:val="008D2586"/>
    <w:rsid w:val="008D5847"/>
    <w:rsid w:val="008E2210"/>
    <w:rsid w:val="008F59EA"/>
    <w:rsid w:val="008F6484"/>
    <w:rsid w:val="00942DC3"/>
    <w:rsid w:val="00963FC9"/>
    <w:rsid w:val="00985420"/>
    <w:rsid w:val="009B2E16"/>
    <w:rsid w:val="009B4E2A"/>
    <w:rsid w:val="009F0087"/>
    <w:rsid w:val="009F3DBE"/>
    <w:rsid w:val="00A058BF"/>
    <w:rsid w:val="00A45161"/>
    <w:rsid w:val="00A6748F"/>
    <w:rsid w:val="00A83877"/>
    <w:rsid w:val="00AB403F"/>
    <w:rsid w:val="00AE69A8"/>
    <w:rsid w:val="00B05348"/>
    <w:rsid w:val="00B55609"/>
    <w:rsid w:val="00B645BB"/>
    <w:rsid w:val="00BB686C"/>
    <w:rsid w:val="00BB7AF6"/>
    <w:rsid w:val="00BC07F6"/>
    <w:rsid w:val="00BC0E3B"/>
    <w:rsid w:val="00BD6DFD"/>
    <w:rsid w:val="00C07938"/>
    <w:rsid w:val="00C1311D"/>
    <w:rsid w:val="00C162A1"/>
    <w:rsid w:val="00C263AE"/>
    <w:rsid w:val="00C76A87"/>
    <w:rsid w:val="00C80535"/>
    <w:rsid w:val="00CC2044"/>
    <w:rsid w:val="00CD3DF6"/>
    <w:rsid w:val="00CE4272"/>
    <w:rsid w:val="00CF1756"/>
    <w:rsid w:val="00CF4734"/>
    <w:rsid w:val="00CF61D6"/>
    <w:rsid w:val="00D10103"/>
    <w:rsid w:val="00D67FEC"/>
    <w:rsid w:val="00DA04E4"/>
    <w:rsid w:val="00DE5815"/>
    <w:rsid w:val="00DF1329"/>
    <w:rsid w:val="00DF55EF"/>
    <w:rsid w:val="00E17B70"/>
    <w:rsid w:val="00E21091"/>
    <w:rsid w:val="00E27530"/>
    <w:rsid w:val="00E3488A"/>
    <w:rsid w:val="00EB6E1C"/>
    <w:rsid w:val="00ED45B5"/>
    <w:rsid w:val="00ED6807"/>
    <w:rsid w:val="00EE2F3F"/>
    <w:rsid w:val="00F13B9F"/>
    <w:rsid w:val="00F5050A"/>
    <w:rsid w:val="00F6239F"/>
    <w:rsid w:val="00F74C21"/>
    <w:rsid w:val="00F764BD"/>
    <w:rsid w:val="00F844BF"/>
    <w:rsid w:val="00FA0050"/>
    <w:rsid w:val="00FC0EF8"/>
    <w:rsid w:val="00FD064B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C14795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F5B24"/>
    <w:pPr>
      <w:ind w:leftChars="400" w:left="960"/>
    </w:pPr>
  </w:style>
  <w:style w:type="character" w:styleId="ab">
    <w:name w:val="annotation reference"/>
    <w:basedOn w:val="a0"/>
    <w:uiPriority w:val="99"/>
    <w:semiHidden/>
    <w:unhideWhenUsed/>
    <w:rsid w:val="00433F5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33F5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33F57"/>
  </w:style>
  <w:style w:type="paragraph" w:styleId="ae">
    <w:name w:val="annotation subject"/>
    <w:basedOn w:val="ac"/>
    <w:next w:val="ac"/>
    <w:link w:val="af"/>
    <w:uiPriority w:val="99"/>
    <w:semiHidden/>
    <w:unhideWhenUsed/>
    <w:rsid w:val="00433F5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33F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89507-DD8F-4DF5-AB5D-AC2BF979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2022-10-24T08:44:00Z</dcterms:created>
  <dcterms:modified xsi:type="dcterms:W3CDTF">2022-10-24T08:44:00Z</dcterms:modified>
</cp:coreProperties>
</file>