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2A4" w14:textId="77777777" w:rsidR="00BF7FA7" w:rsidRDefault="00BF7FA7" w:rsidP="00BF7FA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Second period</w:t>
      </w:r>
    </w:p>
    <w:p w14:paraId="2229E960" w14:textId="77777777" w:rsidR="00BF7FA7" w:rsidRDefault="00BF7FA7" w:rsidP="00BF7FA7">
      <w:pPr>
        <w:widowControl/>
        <w:jc w:val="left"/>
        <w:rPr>
          <w:rFonts w:ascii="Times New Roman" w:eastAsia="游明朝" w:hAnsi="Times New Roman" w:cs="Times New Roman"/>
          <w:kern w:val="0"/>
          <w:sz w:val="24"/>
          <w:szCs w:val="24"/>
        </w:rPr>
      </w:pPr>
    </w:p>
    <w:p w14:paraId="3CEAB967" w14:textId="77777777" w:rsidR="00BF7FA7" w:rsidRDefault="00BF7FA7" w:rsidP="00BF7FA7">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Around 1922, the Old Public Hall was painted ochre and white. Sometime between 1945 and 1955, the carriage porches and decorative roof elements were dismantled. The Old Public Hall’s appearance changed most dramatically during this period.</w:t>
      </w:r>
    </w:p>
    <w:p w14:paraId="34F8E5F7" w14:textId="77777777" w:rsidR="00ED6807" w:rsidRPr="00BF7FA7" w:rsidRDefault="00ED6807" w:rsidP="00BF7FA7"/>
    <w:sectPr w:rsidR="00ED6807" w:rsidRPr="00BF7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BF7FA7"/>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615">
      <w:bodyDiv w:val="1"/>
      <w:marLeft w:val="0"/>
      <w:marRight w:val="0"/>
      <w:marTop w:val="0"/>
      <w:marBottom w:val="0"/>
      <w:divBdr>
        <w:top w:val="none" w:sz="0" w:space="0" w:color="auto"/>
        <w:left w:val="none" w:sz="0" w:space="0" w:color="auto"/>
        <w:bottom w:val="none" w:sz="0" w:space="0" w:color="auto"/>
        <w:right w:val="none" w:sz="0" w:space="0" w:color="auto"/>
      </w:divBdr>
    </w:div>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