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3C723" w14:textId="570FCB46" w:rsidR="00335B7E" w:rsidRDefault="00335B7E" w:rsidP="00335B7E">
      <w:pPr>
        <w:rPr>
          <w:rFonts w:ascii="Times New Roman" w:eastAsia="游明朝" w:hAnsi="Times New Roman" w:cs="Times New Roman"/>
          <w:i/>
          <w:iCs/>
          <w:sz w:val="24"/>
          <w:szCs w:val="24"/>
        </w:rPr>
      </w:pPr>
      <w:bookmarkStart w:id="0" w:name="_GoBack"/>
      <w:bookmarkEnd w:id="0"/>
      <w:r>
        <w:rPr>
          <w:rFonts w:ascii="Times New Roman" w:eastAsia="游明朝" w:hAnsi="Times New Roman" w:cs="Times New Roman"/>
          <w:b/>
          <w:sz w:val="24"/>
          <w:szCs w:val="24"/>
        </w:rPr>
        <w:t xml:space="preserve">Ueno Tenjin Matsuri: Explanation of the </w:t>
      </w:r>
      <w:r>
        <w:rPr>
          <w:rFonts w:ascii="Times New Roman" w:eastAsia="游明朝" w:hAnsi="Times New Roman" w:cs="Times New Roman"/>
          <w:b/>
          <w:i/>
          <w:sz w:val="24"/>
          <w:szCs w:val="24"/>
        </w:rPr>
        <w:t>Danjiri</w:t>
      </w:r>
      <w:r>
        <w:rPr>
          <w:rFonts w:ascii="Times New Roman" w:eastAsia="游明朝" w:hAnsi="Times New Roman" w:cs="Times New Roman"/>
          <w:b/>
          <w:sz w:val="24"/>
          <w:szCs w:val="24"/>
        </w:rPr>
        <w:t xml:space="preserve"> and </w:t>
      </w:r>
      <w:r>
        <w:rPr>
          <w:rFonts w:ascii="Times New Roman" w:eastAsia="游明朝" w:hAnsi="Times New Roman" w:cs="Times New Roman"/>
          <w:b/>
          <w:i/>
          <w:sz w:val="24"/>
          <w:szCs w:val="24"/>
        </w:rPr>
        <w:t>Shirushi</w:t>
      </w:r>
      <w:r>
        <w:rPr>
          <w:rFonts w:ascii="Times New Roman" w:eastAsia="游明朝" w:hAnsi="Times New Roman" w:cs="Times New Roman"/>
          <w:b/>
          <w:sz w:val="24"/>
          <w:szCs w:val="24"/>
        </w:rPr>
        <w:t xml:space="preserve"> Floats</w:t>
      </w:r>
    </w:p>
    <w:p w14:paraId="20AB3ACC" w14:textId="77777777" w:rsidR="00335B7E" w:rsidRDefault="00335B7E" w:rsidP="00335B7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i/>
          <w:iCs/>
          <w:sz w:val="24"/>
          <w:szCs w:val="24"/>
        </w:rPr>
        <w:t>Shirushi</w:t>
      </w:r>
      <w:r>
        <w:rPr>
          <w:rFonts w:ascii="Times New Roman" w:eastAsia="游明朝" w:hAnsi="Times New Roman" w:cs="Times New Roman"/>
          <w:sz w:val="24"/>
          <w:szCs w:val="24"/>
        </w:rPr>
        <w:t xml:space="preserve"> are small floats that represent either the individual neighborhood kami</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 xml:space="preserve">(deity) or some symbol of local pride. Each </w:t>
      </w:r>
      <w:r>
        <w:rPr>
          <w:rFonts w:ascii="Times New Roman" w:eastAsia="游明朝" w:hAnsi="Times New Roman" w:cs="Times New Roman"/>
          <w:i/>
          <w:iCs/>
          <w:sz w:val="24"/>
          <w:szCs w:val="24"/>
        </w:rPr>
        <w:t xml:space="preserve">shirushi </w:t>
      </w:r>
      <w:r>
        <w:rPr>
          <w:rFonts w:ascii="Times New Roman" w:eastAsia="游明朝" w:hAnsi="Times New Roman" w:cs="Times New Roman"/>
          <w:sz w:val="24"/>
          <w:szCs w:val="24"/>
        </w:rPr>
        <w:t xml:space="preserve">precedes its accompanying </w:t>
      </w:r>
      <w:r>
        <w:rPr>
          <w:rFonts w:ascii="Times New Roman" w:eastAsia="游明朝" w:hAnsi="Times New Roman" w:cs="Times New Roman"/>
          <w:i/>
          <w:sz w:val="24"/>
          <w:szCs w:val="24"/>
        </w:rPr>
        <w:t>danjiri</w:t>
      </w:r>
      <w:r>
        <w:rPr>
          <w:rFonts w:ascii="Times New Roman" w:eastAsia="游明朝" w:hAnsi="Times New Roman" w:cs="Times New Roman"/>
          <w:iCs/>
          <w:sz w:val="24"/>
          <w:szCs w:val="24"/>
        </w:rPr>
        <w:t xml:space="preserve"> from the same neighborhood during the parade</w:t>
      </w:r>
      <w:r>
        <w:rPr>
          <w:rFonts w:ascii="Times New Roman" w:eastAsia="游明朝" w:hAnsi="Times New Roman" w:cs="Times New Roman"/>
          <w:sz w:val="24"/>
          <w:szCs w:val="24"/>
        </w:rPr>
        <w:t>.</w:t>
      </w:r>
    </w:p>
    <w:p w14:paraId="63FB569C" w14:textId="77777777" w:rsidR="00335B7E" w:rsidRDefault="00335B7E" w:rsidP="00335B7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r>
      <w:r>
        <w:rPr>
          <w:rFonts w:ascii="Times New Roman" w:eastAsia="游明朝" w:hAnsi="Times New Roman" w:cs="Times New Roman"/>
          <w:i/>
          <w:iCs/>
          <w:sz w:val="24"/>
          <w:szCs w:val="24"/>
        </w:rPr>
        <w:t>Danjiri</w:t>
      </w:r>
      <w:r>
        <w:rPr>
          <w:rFonts w:ascii="Times New Roman" w:eastAsia="游明朝" w:hAnsi="Times New Roman" w:cs="Times New Roman"/>
          <w:sz w:val="24"/>
          <w:szCs w:val="24"/>
        </w:rPr>
        <w:t xml:space="preserve"> are wooden carts, the predecessors of modern parade floats. </w:t>
      </w:r>
      <w:r>
        <w:rPr>
          <w:rFonts w:ascii="Times New Roman" w:eastAsia="游明朝" w:hAnsi="Times New Roman" w:cs="Times New Roman"/>
          <w:i/>
          <w:sz w:val="24"/>
          <w:szCs w:val="24"/>
        </w:rPr>
        <w:t xml:space="preserve">Danjiri </w:t>
      </w:r>
      <w:r>
        <w:rPr>
          <w:rFonts w:ascii="Times New Roman" w:eastAsia="游明朝" w:hAnsi="Times New Roman" w:cs="Times New Roman"/>
          <w:sz w:val="24"/>
          <w:szCs w:val="24"/>
        </w:rPr>
        <w:t xml:space="preserve">festivals have been popular in Japan for hundreds of years to honor local legends and Buddhist and Shinto deities. Communities often dedicate the first night of each festival to decorating the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with curtains, lanterns, and special ornaments.</w:t>
      </w:r>
    </w:p>
    <w:p w14:paraId="3C3688D9" w14:textId="77777777" w:rsidR="00335B7E" w:rsidRDefault="00335B7E" w:rsidP="00335B7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dozens of attendants who pull these large wooden floats during the festival practice throughout the year to ensure the safety of the riders and spectators. The heavy carts have followed the same routes for many centuries, wearing marks into Iga’s streets.</w:t>
      </w:r>
    </w:p>
    <w:p w14:paraId="132CAF12" w14:textId="77777777" w:rsidR="00335B7E" w:rsidRDefault="00335B7E" w:rsidP="00335B7E">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During the procession, residents ride their carts dressed in festive clothing, kneeling or sitting on the float’s top floor and playing musical instruments. Traditionally, only residents of the neighborhood can ride in their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and between festivals each float is stored within its own neighborhood.</w:t>
      </w:r>
    </w:p>
    <w:p w14:paraId="26877A44" w14:textId="2F5A0C5C" w:rsidR="00E64712" w:rsidRPr="00335B7E" w:rsidRDefault="00E64712" w:rsidP="00335B7E"/>
    <w:sectPr w:rsidR="00E64712" w:rsidRPr="00335B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35B7E"/>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C4164"/>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077093860">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FDFC3-0F09-4383-97A9-05FDD07E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2022-10-25T08:02:00Z</dcterms:created>
  <dcterms:modified xsi:type="dcterms:W3CDTF">2022-11-10T08:39:00Z</dcterms:modified>
</cp:coreProperties>
</file>