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90E4" w14:textId="77777777" w:rsidR="008019A0" w:rsidRDefault="008019A0" w:rsidP="008019A0">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Mammals of Urabandai</w:t>
      </w:r>
    </w:p>
    <w:p w14:paraId="102D4F93" w14:textId="77777777" w:rsidR="008019A0" w:rsidRDefault="008019A0" w:rsidP="008019A0">
      <w:pPr>
        <w:tabs>
          <w:tab w:val="left" w:pos="426"/>
        </w:tabs>
        <w:rPr>
          <w:rFonts w:ascii="Times New Roman" w:hAnsi="Times New Roman" w:cs="Times New Roman"/>
          <w:sz w:val="24"/>
        </w:rPr>
      </w:pPr>
      <w:r>
        <w:rPr>
          <w:rFonts w:ascii="Times New Roman" w:hAnsi="Times New Roman" w:cs="Times New Roman"/>
          <w:color w:val="000000"/>
          <w:sz w:val="24"/>
        </w:rPr>
        <w:t>Urabandai’s abundant wildlife is an indicator of how well its forests and ecosystems have recovered since the eruption and partial collapse of Mt. Bandai in 1888. Approximately 40 mammal species inhabit the area, including the native subspecies of the Asiatic black bear and the stoat, as well as native species of macaque monkey, serow, and squirrels.</w:t>
      </w:r>
    </w:p>
    <w:p w14:paraId="67F2EF83" w14:textId="109803BB" w:rsidR="008D2586" w:rsidRPr="008019A0" w:rsidRDefault="008D2586" w:rsidP="008019A0"/>
    <w:sectPr w:rsidR="008D2586" w:rsidRPr="00801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19A0"/>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595639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2022-10-25T04:08:00Z</dcterms:created>
  <dcterms:modified xsi:type="dcterms:W3CDTF">2022-10-25T04:08:00Z</dcterms:modified>
</cp:coreProperties>
</file>