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248" w14:textId="77777777" w:rsidR="00223E30" w:rsidRDefault="00223E30" w:rsidP="00223E30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Sugashima Jinja Shrine</w:t>
      </w:r>
    </w:p>
    <w:p w14:paraId="72A0E47B" w14:textId="77777777" w:rsidR="00223E30" w:rsidRDefault="00223E30" w:rsidP="00223E30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Shinto shrine is a short walk from Sugashima’s port. The abalone shells piled near the entrance represent many years of offerings from the Shirongo Matsuri festival. Other sights within the grounds include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kame-ishi</w:t>
      </w:r>
      <w:r>
        <w:rPr>
          <w:rFonts w:ascii="Times New Roman" w:eastAsia="Times New Roman" w:hAnsi="Times New Roman" w:cs="Times New Roman"/>
          <w:sz w:val="24"/>
          <w:szCs w:val="24"/>
        </w:rPr>
        <w:t>, a boulder in the shape of a sea turtle, and Mawata-no-kamisan (“the god of gauze”), a sacred stone that new parents wrap with gauze to express their wish for the health of their babies.</w:t>
      </w:r>
    </w:p>
    <w:p w14:paraId="000002A6" w14:textId="77777777" w:rsidR="007938B2" w:rsidRPr="00223E30" w:rsidRDefault="007938B2" w:rsidP="00223E30"/>
    <w:sectPr w:rsidR="007938B2" w:rsidRPr="00223E3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223E30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