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9F766" w14:textId="77777777" w:rsidR="00B32B61" w:rsidRDefault="00B32B61" w:rsidP="00B32B61">
      <w:pPr>
        <w:tabs>
          <w:tab w:val="left" w:pos="284"/>
          <w:tab w:val="left" w:pos="426"/>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Hachiman </w:t>
      </w:r>
      <w:proofErr w:type="spellStart"/>
      <w:r>
        <w:rPr>
          <w:rFonts w:ascii="Times New Roman" w:eastAsia="Times New Roman" w:hAnsi="Times New Roman" w:cs="Times New Roman"/>
          <w:b/>
          <w:sz w:val="24"/>
          <w:szCs w:val="24"/>
        </w:rPr>
        <w:t>Jinja</w:t>
      </w:r>
      <w:proofErr w:type="spellEnd"/>
    </w:p>
    <w:p w14:paraId="3184CA7D" w14:textId="26ABE04C" w:rsidR="00B32B61" w:rsidRDefault="003119E0" w:rsidP="00B32B61">
      <w:pPr>
        <w:tabs>
          <w:tab w:val="left" w:pos="284"/>
          <w:tab w:val="left" w:pos="426"/>
        </w:tabs>
        <w:rPr>
          <w:rFonts w:ascii="Times New Roman" w:eastAsia="Times New Roman" w:hAnsi="Times New Roman" w:cs="Times New Roman"/>
          <w:sz w:val="24"/>
          <w:szCs w:val="24"/>
        </w:rPr>
      </w:pPr>
      <w:sdt>
        <w:sdtPr>
          <w:rPr>
            <w:rFonts w:ascii="Times New Roman" w:hAnsi="Times New Roman" w:cs="Times New Roman"/>
            <w:sz w:val="24"/>
            <w:szCs w:val="24"/>
          </w:rPr>
          <w:tag w:val="goog_rdk_3"/>
          <w:id w:val="679095345"/>
        </w:sdtPr>
        <w:sdtEndPr/>
        <w:sdtContent>
          <w:r w:rsidR="00B32B61">
            <w:rPr>
              <w:rFonts w:ascii="Times New Roman" w:eastAsia="Gungsuh" w:hAnsi="Times New Roman" w:cs="Times New Roman"/>
              <w:sz w:val="24"/>
              <w:szCs w:val="24"/>
            </w:rPr>
            <w:t xml:space="preserve">Numerous shrines to the deity Hachiman can be found on </w:t>
          </w:r>
          <w:proofErr w:type="spellStart"/>
          <w:r w:rsidR="00B32B61">
            <w:rPr>
              <w:rFonts w:ascii="Times New Roman" w:eastAsia="Gungsuh" w:hAnsi="Times New Roman" w:cs="Times New Roman"/>
              <w:sz w:val="24"/>
              <w:szCs w:val="24"/>
            </w:rPr>
            <w:t>Toshijima</w:t>
          </w:r>
          <w:proofErr w:type="spellEnd"/>
          <w:r w:rsidR="00B32B61">
            <w:rPr>
              <w:rFonts w:ascii="Times New Roman" w:eastAsia="Gungsuh" w:hAnsi="Times New Roman" w:cs="Times New Roman"/>
              <w:sz w:val="24"/>
              <w:szCs w:val="24"/>
            </w:rPr>
            <w:t xml:space="preserve"> </w:t>
          </w:r>
          <w:proofErr w:type="gramStart"/>
          <w:r w:rsidR="00B32B61">
            <w:rPr>
              <w:rFonts w:ascii="Times New Roman" w:eastAsia="Gungsuh" w:hAnsi="Times New Roman" w:cs="Times New Roman"/>
              <w:sz w:val="24"/>
              <w:szCs w:val="24"/>
            </w:rPr>
            <w:t>island</w:t>
          </w:r>
          <w:proofErr w:type="gramEnd"/>
          <w:r w:rsidR="00B32B61">
            <w:rPr>
              <w:rFonts w:ascii="Times New Roman" w:eastAsia="Gungsuh" w:hAnsi="Times New Roman" w:cs="Times New Roman"/>
              <w:sz w:val="24"/>
              <w:szCs w:val="24"/>
            </w:rPr>
            <w:t xml:space="preserve">. Hachiman has long been venerated throughout Japan as a patron of warriors and a protector of agriculture. On </w:t>
          </w:r>
          <w:proofErr w:type="spellStart"/>
          <w:r w:rsidR="00B32B61">
            <w:rPr>
              <w:rFonts w:ascii="Times New Roman" w:eastAsia="Gungsuh" w:hAnsi="Times New Roman" w:cs="Times New Roman"/>
              <w:sz w:val="24"/>
              <w:szCs w:val="24"/>
            </w:rPr>
            <w:t>Toshijima</w:t>
          </w:r>
          <w:proofErr w:type="spellEnd"/>
          <w:r w:rsidR="00B32B61">
            <w:rPr>
              <w:rFonts w:ascii="Times New Roman" w:eastAsia="Gungsuh" w:hAnsi="Times New Roman" w:cs="Times New Roman"/>
              <w:sz w:val="24"/>
              <w:szCs w:val="24"/>
            </w:rPr>
            <w:t>, local residents pray to Hachiman for bountiful harvests and safety at sea. Sacred Hachiman marks in the form of the Japanese character “</w:t>
          </w:r>
          <w:proofErr w:type="spellStart"/>
          <w:r w:rsidR="00B32B61">
            <w:rPr>
              <w:rFonts w:ascii="Times New Roman" w:eastAsia="Gungsuh" w:hAnsi="Times New Roman" w:cs="Times New Roman"/>
              <w:sz w:val="24"/>
              <w:szCs w:val="24"/>
            </w:rPr>
            <w:t>hachi</w:t>
          </w:r>
          <w:proofErr w:type="spellEnd"/>
          <w:r w:rsidR="00B32B61">
            <w:rPr>
              <w:rFonts w:ascii="Times New Roman" w:eastAsia="Gungsuh" w:hAnsi="Times New Roman" w:cs="Times New Roman"/>
              <w:sz w:val="24"/>
              <w:szCs w:val="24"/>
            </w:rPr>
            <w:t xml:space="preserve">” </w:t>
          </w:r>
          <w:r w:rsidR="009E3159" w:rsidRPr="00391AD8">
            <w:rPr>
              <w:rFonts w:ascii="Times New Roman" w:eastAsia="Gungsuh" w:hAnsi="Times New Roman" w:cs="Times New Roman"/>
              <w:sz w:val="24"/>
              <w:szCs w:val="24"/>
            </w:rPr>
            <w:t>(</w:t>
          </w:r>
          <w:r w:rsidR="009E3159" w:rsidRPr="00391AD8">
            <w:rPr>
              <w:rFonts w:ascii="Times New Roman" w:eastAsia="Gungsuh" w:hAnsi="Times New Roman" w:cs="Times New Roman"/>
              <w:sz w:val="24"/>
              <w:szCs w:val="24"/>
            </w:rPr>
            <w:t>八</w:t>
          </w:r>
          <w:r w:rsidR="009E3159" w:rsidRPr="00391AD8">
            <w:rPr>
              <w:rFonts w:ascii="Times New Roman" w:eastAsia="Gungsuh" w:hAnsi="Times New Roman" w:cs="Times New Roman"/>
              <w:sz w:val="24"/>
              <w:szCs w:val="24"/>
            </w:rPr>
            <w:t>)</w:t>
          </w:r>
          <w:r w:rsidR="009E3159">
            <w:rPr>
              <w:rFonts w:ascii="Times New Roman" w:eastAsia="Gungsuh" w:hAnsi="Times New Roman" w:cs="Times New Roman"/>
              <w:sz w:val="24"/>
              <w:szCs w:val="24"/>
            </w:rPr>
            <w:t xml:space="preserve">　</w:t>
          </w:r>
          <w:bookmarkStart w:id="0" w:name="_GoBack"/>
          <w:bookmarkEnd w:id="0"/>
          <w:r w:rsidR="00B32B61">
            <w:rPr>
              <w:rFonts w:ascii="Times New Roman" w:eastAsia="Gungsuh" w:hAnsi="Times New Roman" w:cs="Times New Roman"/>
              <w:sz w:val="24"/>
              <w:szCs w:val="24"/>
            </w:rPr>
            <w:t>within a circle, can be found on boats and buildings all around the island</w:t>
          </w:r>
        </w:sdtContent>
      </w:sdt>
      <w:r w:rsidR="00B32B61">
        <w:rPr>
          <w:rFonts w:ascii="Times New Roman" w:hAnsi="Times New Roman" w:cs="Times New Roman"/>
          <w:sz w:val="24"/>
          <w:szCs w:val="24"/>
        </w:rPr>
        <w:t xml:space="preserve">. </w:t>
      </w:r>
      <w:r w:rsidR="00B32B61">
        <w:rPr>
          <w:rFonts w:ascii="Times New Roman" w:eastAsia="Times New Roman" w:hAnsi="Times New Roman" w:cs="Times New Roman"/>
          <w:sz w:val="24"/>
          <w:szCs w:val="24"/>
        </w:rPr>
        <w:t>These are drawn by hand with sanctified charcoal prepared on special festival days. While visitors are welcome to visit the island’s shrines, they should remove their shoes before entering the innermost areas, which are carpeted with smooth, white, round stones</w:t>
      </w:r>
    </w:p>
    <w:p w14:paraId="000002A6" w14:textId="77777777" w:rsidR="007938B2" w:rsidRPr="00B32B61" w:rsidRDefault="007938B2" w:rsidP="00B32B61"/>
    <w:sectPr w:rsidR="007938B2" w:rsidRPr="00B32B61">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E9190" w14:textId="77777777" w:rsidR="003119E0" w:rsidRDefault="003119E0">
      <w:r>
        <w:separator/>
      </w:r>
    </w:p>
  </w:endnote>
  <w:endnote w:type="continuationSeparator" w:id="0">
    <w:p w14:paraId="1E65E4AB" w14:textId="77777777" w:rsidR="003119E0" w:rsidRDefault="0031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Arial Unicode MS"/>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2617" w14:textId="77777777" w:rsidR="003119E0" w:rsidRDefault="003119E0">
      <w:r>
        <w:separator/>
      </w:r>
    </w:p>
  </w:footnote>
  <w:footnote w:type="continuationSeparator" w:id="0">
    <w:p w14:paraId="0008BFC5" w14:textId="77777777" w:rsidR="003119E0" w:rsidRDefault="00311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119E0"/>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9E3159"/>
    <w:rsid w:val="00A50D51"/>
    <w:rsid w:val="00A77D34"/>
    <w:rsid w:val="00B16614"/>
    <w:rsid w:val="00B32B61"/>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10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3</cp:revision>
  <dcterms:created xsi:type="dcterms:W3CDTF">2022-10-25T08:14:00Z</dcterms:created>
  <dcterms:modified xsi:type="dcterms:W3CDTF">2022-10-25T08:43:00Z</dcterms:modified>
</cp:coreProperties>
</file>