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40FBF" w14:textId="77777777" w:rsidR="006049F2" w:rsidRDefault="006049F2" w:rsidP="006049F2">
      <w:pPr>
        <w:widowControl w:val="0"/>
        <w:spacing w:after="0" w:line="360" w:lineRule="exact"/>
        <w:rPr>
          <w:rFonts w:ascii="Times New Roman" w:eastAsia="游明朝" w:hAnsi="Times New Roman" w:cs="Times New Roman"/>
          <w:b/>
          <w:kern w:val="2"/>
          <w:sz w:val="24"/>
        </w:rPr>
      </w:pPr>
      <w:r>
        <w:rPr>
          <w:rFonts w:ascii="Times New Roman" w:eastAsia="游明朝" w:hAnsi="Times New Roman" w:cs="Times New Roman"/>
          <w:b/>
          <w:kern w:val="2"/>
          <w:sz w:val="24"/>
        </w:rPr>
        <w:t xml:space="preserve">Tenjuin </w:t>
      </w:r>
      <w:r>
        <w:rPr>
          <w:rFonts w:ascii="Times New Roman" w:eastAsia="游明朝" w:hAnsi="Times New Roman" w:cs="Times New Roman"/>
          <w:b/>
          <w:bCs/>
          <w:kern w:val="2"/>
          <w:sz w:val="24"/>
          <w:szCs w:val="24"/>
        </w:rPr>
        <w:t>Mausoleum</w:t>
      </w:r>
    </w:p>
    <w:p w14:paraId="51DD06E6" w14:textId="77777777" w:rsidR="006049F2" w:rsidRDefault="006049F2" w:rsidP="006049F2">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The </w:t>
      </w:r>
      <w:bookmarkStart w:id="0" w:name="_Hlk56787362"/>
      <w:r>
        <w:rPr>
          <w:rFonts w:ascii="Times New Roman" w:eastAsia="游明朝" w:hAnsi="Times New Roman" w:cs="Times New Roman"/>
          <w:kern w:val="2"/>
          <w:sz w:val="24"/>
          <w:szCs w:val="24"/>
        </w:rPr>
        <w:t xml:space="preserve">Tenjuin Mausoleum </w:t>
      </w:r>
      <w:bookmarkEnd w:id="0"/>
      <w:r>
        <w:rPr>
          <w:rFonts w:ascii="Times New Roman" w:eastAsia="游明朝" w:hAnsi="Times New Roman" w:cs="Times New Roman"/>
          <w:kern w:val="2"/>
          <w:sz w:val="24"/>
          <w:szCs w:val="24"/>
        </w:rPr>
        <w:t xml:space="preserve">is the final resting place of the daimyo </w:t>
      </w:r>
      <w:bookmarkStart w:id="1" w:name="_Hlk56711418"/>
      <w:r>
        <w:rPr>
          <w:rFonts w:ascii="Times New Roman" w:eastAsia="游明朝" w:hAnsi="Times New Roman" w:cs="Times New Roman"/>
          <w:kern w:val="2"/>
          <w:sz w:val="24"/>
          <w:szCs w:val="24"/>
        </w:rPr>
        <w:t>Mōri Terumoto (1553–1625)</w:t>
      </w:r>
      <w:bookmarkEnd w:id="1"/>
      <w:r>
        <w:rPr>
          <w:rFonts w:ascii="Times New Roman" w:eastAsia="游明朝" w:hAnsi="Times New Roman" w:cs="Times New Roman"/>
          <w:kern w:val="2"/>
          <w:sz w:val="24"/>
          <w:szCs w:val="24"/>
        </w:rPr>
        <w:t xml:space="preserve"> and his wife, known both as Seikōin and Lady Minami no Ōkata (1558–1631). “Tenjuin” is Mōri </w:t>
      </w:r>
      <w:bookmarkStart w:id="2" w:name="_Hlk56713317"/>
      <w:r>
        <w:rPr>
          <w:rFonts w:ascii="Times New Roman" w:eastAsia="游明朝" w:hAnsi="Times New Roman" w:cs="Times New Roman"/>
          <w:kern w:val="2"/>
          <w:sz w:val="24"/>
          <w:szCs w:val="24"/>
        </w:rPr>
        <w:t>Terumoto’s posthumous name</w:t>
      </w:r>
      <w:bookmarkEnd w:id="2"/>
      <w:r>
        <w:rPr>
          <w:rFonts w:ascii="Times New Roman" w:eastAsia="游明朝" w:hAnsi="Times New Roman" w:cs="Times New Roman"/>
          <w:kern w:val="2"/>
          <w:sz w:val="24"/>
          <w:szCs w:val="24"/>
        </w:rPr>
        <w:t xml:space="preserve">, and the mausoleum sits on the site of his former residence. Terumoto’s loyal retainer </w:t>
      </w:r>
      <w:bookmarkStart w:id="3" w:name="_Hlk56711446"/>
      <w:r>
        <w:rPr>
          <w:rFonts w:ascii="Times New Roman" w:eastAsia="游明朝" w:hAnsi="Times New Roman" w:cs="Times New Roman"/>
          <w:kern w:val="2"/>
          <w:sz w:val="24"/>
          <w:szCs w:val="24"/>
        </w:rPr>
        <w:t>Nagai Motofusa</w:t>
      </w:r>
      <w:bookmarkEnd w:id="3"/>
      <w:r>
        <w:rPr>
          <w:rFonts w:ascii="Times New Roman" w:eastAsia="游明朝" w:hAnsi="Times New Roman" w:cs="Times New Roman"/>
          <w:kern w:val="2"/>
          <w:sz w:val="24"/>
          <w:szCs w:val="24"/>
        </w:rPr>
        <w:t xml:space="preserve"> (?–1625) is also interred here. Motofusa committed ritual suicide following the death of his lord in 1625.</w:t>
      </w:r>
    </w:p>
    <w:p w14:paraId="275E90B4" w14:textId="77777777" w:rsidR="006049F2" w:rsidRDefault="006049F2" w:rsidP="006049F2">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b/>
        <w:t xml:space="preserve">Terumoto was grandson and heir to the warlord </w:t>
      </w:r>
      <w:bookmarkStart w:id="4" w:name="_Hlk56711573"/>
      <w:r>
        <w:rPr>
          <w:rFonts w:ascii="Times New Roman" w:eastAsia="游明朝" w:hAnsi="Times New Roman" w:cs="Times New Roman"/>
          <w:kern w:val="2"/>
          <w:sz w:val="24"/>
          <w:szCs w:val="24"/>
        </w:rPr>
        <w:t>Mōri Motonari (1497–1571)</w:t>
      </w:r>
      <w:bookmarkEnd w:id="4"/>
      <w:r>
        <w:rPr>
          <w:rFonts w:ascii="Times New Roman" w:eastAsia="游明朝" w:hAnsi="Times New Roman" w:cs="Times New Roman"/>
          <w:kern w:val="2"/>
          <w:sz w:val="24"/>
          <w:szCs w:val="24"/>
        </w:rPr>
        <w:t xml:space="preserve">. In the sixteenth century, Motonari established the Mōri family as one of the most powerful families in Japan. After the death of Toyotomi Hideyoshi (1537–1598), who had nearly succeeded in unifying Japan’s warring regional leaders, Terumoto was named one of the five regents who would rule Japan until </w:t>
      </w:r>
      <w:bookmarkStart w:id="5" w:name="_Hlk56711616"/>
      <w:r>
        <w:rPr>
          <w:rFonts w:ascii="Times New Roman" w:eastAsia="游明朝" w:hAnsi="Times New Roman" w:cs="Times New Roman"/>
          <w:kern w:val="2"/>
          <w:sz w:val="24"/>
          <w:szCs w:val="24"/>
        </w:rPr>
        <w:t xml:space="preserve">Hideyoshi’s son Hideyori (1593–1615) </w:t>
      </w:r>
      <w:bookmarkEnd w:id="5"/>
      <w:r>
        <w:rPr>
          <w:rFonts w:ascii="Times New Roman" w:eastAsia="游明朝" w:hAnsi="Times New Roman" w:cs="Times New Roman"/>
          <w:kern w:val="2"/>
          <w:sz w:val="24"/>
          <w:szCs w:val="24"/>
        </w:rPr>
        <w:t>came of age. When another of the five regents, Tokugawa Ieyasu (1543–1616), began to take power for himself, Terumoto sided with Hideyori. Although Terumoto controlled a large army, at the pivotal Battle of Sekigara (1600) between the forces loyal to Ieyasu and those loyal to Hideyori, Terumoto remained in Osaka Castle, arguably costing Hideyori’s side the victory. As punishment for siding against the victorious Tokugawa, most of Terumoto’s domain holdings were taken away, and the Mōri were forced to move from Hiroshima to Hagi. Terumoto eventually retired and became a monk.</w:t>
      </w:r>
    </w:p>
    <w:p w14:paraId="71E2197C" w14:textId="77777777" w:rsidR="006049F2" w:rsidRDefault="006049F2" w:rsidP="006049F2">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b/>
        <w:t xml:space="preserve">The mausoleum is humble compared to the grandeur of two other Mōri family memorial sites in Hagi, the Daishōin and Tōkōji temples. The Tenjuin Mausoleum once had a temple as well, but it was destroyed in 1869. The graves of Terumoto and his spouse, a pair of five-tier </w:t>
      </w:r>
      <w:r>
        <w:rPr>
          <w:rFonts w:ascii="Times New Roman" w:eastAsia="游明朝" w:hAnsi="Times New Roman" w:cs="Times New Roman"/>
          <w:i/>
          <w:kern w:val="2"/>
          <w:sz w:val="24"/>
          <w:szCs w:val="24"/>
        </w:rPr>
        <w:t>gorintō</w:t>
      </w:r>
      <w:r>
        <w:rPr>
          <w:rFonts w:ascii="Times New Roman" w:eastAsia="游明朝" w:hAnsi="Times New Roman" w:cs="Times New Roman"/>
          <w:kern w:val="2"/>
          <w:sz w:val="24"/>
          <w:szCs w:val="24"/>
        </w:rPr>
        <w:t xml:space="preserve"> stone towers, are surrounded by a stone fence. A stone </w:t>
      </w:r>
      <w:bookmarkStart w:id="6" w:name="_Hlk56785027"/>
      <w:r>
        <w:rPr>
          <w:rFonts w:ascii="Times New Roman" w:eastAsia="游明朝" w:hAnsi="Times New Roman" w:cs="Times New Roman"/>
          <w:kern w:val="2"/>
          <w:sz w:val="24"/>
        </w:rPr>
        <w:t>torii</w:t>
      </w:r>
      <w:r>
        <w:rPr>
          <w:rFonts w:ascii="Times New Roman" w:eastAsia="游明朝" w:hAnsi="Times New Roman" w:cs="Times New Roman"/>
          <w:kern w:val="2"/>
          <w:sz w:val="24"/>
          <w:szCs w:val="24"/>
        </w:rPr>
        <w:t xml:space="preserve"> gate </w:t>
      </w:r>
      <w:bookmarkEnd w:id="6"/>
      <w:r>
        <w:rPr>
          <w:rFonts w:ascii="Times New Roman" w:eastAsia="游明朝" w:hAnsi="Times New Roman" w:cs="Times New Roman"/>
          <w:kern w:val="2"/>
          <w:sz w:val="24"/>
          <w:szCs w:val="24"/>
        </w:rPr>
        <w:t>stands at the entrance, and stone lanterns line the 64-meter path to the mausoleum.</w:t>
      </w:r>
    </w:p>
    <w:p w14:paraId="5786DB3C" w14:textId="6495A30C" w:rsidR="005061C0" w:rsidRPr="006049F2" w:rsidRDefault="005061C0" w:rsidP="006049F2"/>
    <w:sectPr w:rsidR="005061C0" w:rsidRPr="006049F2">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049F2"/>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11879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2022-11-08T08:27:00Z</dcterms:created>
  <dcterms:modified xsi:type="dcterms:W3CDTF">2022-11-08T08:27:00Z</dcterms:modified>
</cp:coreProperties>
</file>