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305FAC" w14:textId="77777777" w:rsidR="0067023B" w:rsidRDefault="0067023B" w:rsidP="0067023B">
      <w:pPr>
        <w:spacing w:line="36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Tsuyazaki Gion Yamakasa Festival</w:t>
      </w:r>
    </w:p>
    <w:p w14:paraId="59D31336" w14:textId="77777777" w:rsidR="0067023B" w:rsidRDefault="0067023B" w:rsidP="0067023B">
      <w:pPr>
        <w:spacing w:line="360" w:lineRule="auto"/>
        <w:jc w:val="both"/>
        <w:rPr>
          <w:rFonts w:ascii="Times New Roman" w:eastAsia="Times New Roman" w:hAnsi="Times New Roman" w:cs="Times New Roman"/>
        </w:rPr>
      </w:pPr>
    </w:p>
    <w:p w14:paraId="1194F4A2" w14:textId="77777777" w:rsidR="0067023B" w:rsidRDefault="0067023B" w:rsidP="0067023B">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 xml:space="preserve">The Tsuyazaki Gion Yamakasa Festival dates back over 300 years. The main event is a colorful race between three teams carrying ornate wooden floats through the narrow streets of the Tsuyazaki district in Fukutsu. The teams, representing Fukutsu’s three neighborhoods, begin at Namiori-jinja Shrine and then follow different routes before their paths converge, and a battle to the finish line ensues. </w:t>
      </w:r>
    </w:p>
    <w:p w14:paraId="1A79A18D" w14:textId="77777777" w:rsidR="0067023B" w:rsidRDefault="0067023B" w:rsidP="0067023B">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 xml:space="preserve"> </w:t>
      </w:r>
    </w:p>
    <w:p w14:paraId="473768A0" w14:textId="77777777" w:rsidR="0067023B" w:rsidRDefault="0067023B" w:rsidP="0067023B">
      <w:pPr>
        <w:spacing w:line="360" w:lineRule="auto"/>
        <w:rPr>
          <w:rFonts w:ascii="Times New Roman" w:eastAsia="Times New Roman" w:hAnsi="Times New Roman" w:cs="Times New Roman"/>
        </w:rPr>
      </w:pPr>
      <w:r>
        <w:rPr>
          <w:rFonts w:ascii="Times New Roman" w:eastAsia="Times New Roman" w:hAnsi="Times New Roman" w:cs="Times New Roman"/>
          <w:i/>
          <w:color w:val="000000"/>
          <w:highlight w:val="white"/>
        </w:rPr>
        <w:t>Towering floats</w:t>
      </w:r>
    </w:p>
    <w:p w14:paraId="33B5AA20" w14:textId="77777777" w:rsidR="0067023B" w:rsidRDefault="0067023B" w:rsidP="0067023B">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Each float (</w:t>
      </w:r>
      <w:r>
        <w:rPr>
          <w:rFonts w:ascii="Times New Roman" w:eastAsia="Times New Roman" w:hAnsi="Times New Roman" w:cs="Times New Roman"/>
          <w:i/>
          <w:color w:val="000000"/>
          <w:highlight w:val="white"/>
        </w:rPr>
        <w:t>yamakasa</w:t>
      </w:r>
      <w:r>
        <w:rPr>
          <w:rFonts w:ascii="Times New Roman" w:eastAsia="Times New Roman" w:hAnsi="Times New Roman" w:cs="Times New Roman"/>
          <w:color w:val="000000"/>
          <w:highlight w:val="white"/>
        </w:rPr>
        <w:t xml:space="preserve">) is around 5 meters high, weighs about one ton, and is carried by a team of 30 community members. Floats are decorated with elaborate battle scenes featuring fearsome warriors on horseback, castles, and sprays of blossoms and painted waves. The warrior figurines are </w:t>
      </w:r>
      <w:r>
        <w:rPr>
          <w:rFonts w:ascii="Times New Roman" w:eastAsia="Times New Roman" w:hAnsi="Times New Roman" w:cs="Times New Roman"/>
          <w:color w:val="000000"/>
        </w:rPr>
        <w:t xml:space="preserve">traditional </w:t>
      </w:r>
      <w:r>
        <w:rPr>
          <w:rFonts w:ascii="Times New Roman" w:eastAsia="Times New Roman" w:hAnsi="Times New Roman" w:cs="Times New Roman"/>
          <w:i/>
          <w:color w:val="000000"/>
        </w:rPr>
        <w:t>Tsuyazaki ningyo</w:t>
      </w:r>
      <w:r>
        <w:rPr>
          <w:rFonts w:ascii="Times New Roman" w:eastAsia="Times New Roman" w:hAnsi="Times New Roman" w:cs="Times New Roman"/>
          <w:color w:val="000000"/>
        </w:rPr>
        <w:t xml:space="preserve"> dolls, made from clay and painted in vivid colors. </w:t>
      </w:r>
      <w:r>
        <w:rPr>
          <w:rFonts w:ascii="Times New Roman" w:eastAsia="Times New Roman" w:hAnsi="Times New Roman" w:cs="Times New Roman"/>
          <w:color w:val="000000"/>
          <w:highlight w:val="white"/>
        </w:rPr>
        <w:t>Each neighborhood builds their float by hand, using traditional construction techniques passed down through generations.</w:t>
      </w:r>
    </w:p>
    <w:p w14:paraId="5B4C6BF5" w14:textId="77777777" w:rsidR="0067023B" w:rsidRDefault="0067023B" w:rsidP="0067023B">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 xml:space="preserve"> </w:t>
      </w:r>
    </w:p>
    <w:p w14:paraId="1DD68A25" w14:textId="77777777" w:rsidR="0067023B" w:rsidRDefault="0067023B" w:rsidP="0067023B">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The three rival neighborhoods are identified by their colored headbands (</w:t>
      </w:r>
      <w:r>
        <w:rPr>
          <w:rFonts w:ascii="Times New Roman" w:eastAsia="Times New Roman" w:hAnsi="Times New Roman" w:cs="Times New Roman"/>
          <w:i/>
          <w:color w:val="000000"/>
          <w:highlight w:val="white"/>
        </w:rPr>
        <w:t>hachimaki</w:t>
      </w:r>
      <w:r>
        <w:rPr>
          <w:rFonts w:ascii="Times New Roman" w:eastAsia="Times New Roman" w:hAnsi="Times New Roman" w:cs="Times New Roman"/>
          <w:color w:val="000000"/>
          <w:highlight w:val="white"/>
        </w:rPr>
        <w:t>): Kita, the fishing port, wears pink; Shinmachi, the commercial district, wears yellow; and Oka, the agricultural area, wears red.</w:t>
      </w:r>
    </w:p>
    <w:p w14:paraId="4A7E75BF" w14:textId="77777777" w:rsidR="0067023B" w:rsidRDefault="0067023B" w:rsidP="0067023B">
      <w:pPr>
        <w:spacing w:line="360" w:lineRule="auto"/>
        <w:rPr>
          <w:rFonts w:ascii="Times New Roman" w:eastAsia="Times New Roman" w:hAnsi="Times New Roman" w:cs="Times New Roman"/>
        </w:rPr>
      </w:pPr>
      <w:r>
        <w:rPr>
          <w:rFonts w:ascii="Times New Roman" w:eastAsia="Times New Roman" w:hAnsi="Times New Roman" w:cs="Times New Roman"/>
          <w:color w:val="000000"/>
        </w:rPr>
        <w:t xml:space="preserve"> </w:t>
      </w:r>
    </w:p>
    <w:p w14:paraId="70780516" w14:textId="77777777" w:rsidR="0067023B" w:rsidRDefault="0067023B" w:rsidP="0067023B">
      <w:pPr>
        <w:spacing w:line="360" w:lineRule="auto"/>
        <w:rPr>
          <w:rFonts w:ascii="Times New Roman" w:eastAsia="Times New Roman" w:hAnsi="Times New Roman" w:cs="Times New Roman"/>
        </w:rPr>
      </w:pPr>
      <w:r>
        <w:rPr>
          <w:rFonts w:ascii="Times New Roman" w:eastAsia="Times New Roman" w:hAnsi="Times New Roman" w:cs="Times New Roman"/>
          <w:i/>
          <w:color w:val="000000"/>
        </w:rPr>
        <w:t>Prayers against epidemics</w:t>
      </w:r>
    </w:p>
    <w:p w14:paraId="476821FD" w14:textId="77777777" w:rsidR="0067023B" w:rsidRDefault="0067023B" w:rsidP="0067023B">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The festival was adapted from the Hakata Gion Yamakasa Festival, which has been held in Fukuoka for over 780 years. Both festivals are held to protect the city against epidemics and disasters. The festival was halted during World War II, but fully resumed, after some stops and starts, in 1975. The Tsuyazaki Gion Yamakasa Festival is held on the weekend closest to July 19, starting with a Saturday evening lantern procession through the streets, followed by the main race on Sunday morning. A</w:t>
      </w:r>
      <w:r>
        <w:rPr>
          <w:rFonts w:ascii="Times New Roman" w:eastAsia="Times New Roman" w:hAnsi="Times New Roman" w:cs="Times New Roman"/>
          <w:color w:val="000000"/>
        </w:rPr>
        <w:t>t the end of the festival, the teams give decorations from the floats to local households to protect them from disease and disaster. These hand-painted talismans are attached to the doorways of many houses in the Tsuyazaki Sengen merchant district.</w:t>
      </w:r>
    </w:p>
    <w:p w14:paraId="0DE09B64" w14:textId="77777777" w:rsidR="00EE4629" w:rsidRPr="0067023B" w:rsidRDefault="00EE4629" w:rsidP="0067023B"/>
    <w:sectPr w:rsidR="00EE4629" w:rsidRPr="0067023B">
      <w:footerReference w:type="even" r:id="rId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40B13" w14:textId="77777777" w:rsidR="007963D2" w:rsidRDefault="007963D2">
      <w:r>
        <w:separator/>
      </w:r>
    </w:p>
  </w:endnote>
  <w:endnote w:type="continuationSeparator" w:id="0">
    <w:p w14:paraId="14E6E579" w14:textId="77777777" w:rsidR="007963D2" w:rsidRDefault="00796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A0067" w14:textId="77777777" w:rsidR="00455845" w:rsidRDefault="00455845">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sdt>
    <w:sdtPr>
      <w:tag w:val="goog_rdk_7"/>
      <w:id w:val="101084904"/>
    </w:sdtPr>
    <w:sdtEndPr/>
    <w:sdtContent>
      <w:p w14:paraId="689E5A6A" w14:textId="77777777" w:rsidR="00455845" w:rsidRDefault="0067023B" w:rsidP="0065254F">
        <w:pPr>
          <w:pBdr>
            <w:top w:val="nil"/>
            <w:left w:val="nil"/>
            <w:bottom w:val="nil"/>
            <w:right w:val="nil"/>
            <w:between w:val="nil"/>
          </w:pBdr>
          <w:tabs>
            <w:tab w:val="center" w:pos="4513"/>
            <w:tab w:val="right" w:pos="9026"/>
          </w:tabs>
          <w:ind w:right="360"/>
          <w:rPr>
            <w:color w:val="000000"/>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F4198" w14:textId="5E66EC69" w:rsidR="00455845" w:rsidRDefault="00455845">
    <w:pPr>
      <w:pBdr>
        <w:top w:val="nil"/>
        <w:left w:val="nil"/>
        <w:bottom w:val="nil"/>
        <w:right w:val="nil"/>
        <w:between w:val="nil"/>
      </w:pBdr>
      <w:tabs>
        <w:tab w:val="center" w:pos="4513"/>
        <w:tab w:val="right" w:pos="9026"/>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63FA5" w14:textId="77777777" w:rsidR="007963D2" w:rsidRDefault="007963D2">
      <w:r>
        <w:separator/>
      </w:r>
    </w:p>
  </w:footnote>
  <w:footnote w:type="continuationSeparator" w:id="0">
    <w:p w14:paraId="007B29E2" w14:textId="77777777" w:rsidR="007963D2" w:rsidRDefault="007963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863"/>
    <w:rsid w:val="00012BC5"/>
    <w:rsid w:val="00064F68"/>
    <w:rsid w:val="00066D70"/>
    <w:rsid w:val="000907BA"/>
    <w:rsid w:val="000A3FF0"/>
    <w:rsid w:val="000A5322"/>
    <w:rsid w:val="000E7EB5"/>
    <w:rsid w:val="00103079"/>
    <w:rsid w:val="001101D4"/>
    <w:rsid w:val="0011235F"/>
    <w:rsid w:val="00140A18"/>
    <w:rsid w:val="00150401"/>
    <w:rsid w:val="00150B26"/>
    <w:rsid w:val="0015252D"/>
    <w:rsid w:val="00156087"/>
    <w:rsid w:val="00162E22"/>
    <w:rsid w:val="00171AB5"/>
    <w:rsid w:val="00175DE0"/>
    <w:rsid w:val="00180909"/>
    <w:rsid w:val="001854F8"/>
    <w:rsid w:val="00186FA7"/>
    <w:rsid w:val="0019271B"/>
    <w:rsid w:val="00194DAC"/>
    <w:rsid w:val="001B2330"/>
    <w:rsid w:val="001C65AB"/>
    <w:rsid w:val="001D0F23"/>
    <w:rsid w:val="00225FE6"/>
    <w:rsid w:val="0023610F"/>
    <w:rsid w:val="002371B7"/>
    <w:rsid w:val="00262901"/>
    <w:rsid w:val="002677C4"/>
    <w:rsid w:val="00280412"/>
    <w:rsid w:val="00287914"/>
    <w:rsid w:val="002D2861"/>
    <w:rsid w:val="002D6186"/>
    <w:rsid w:val="002D7004"/>
    <w:rsid w:val="002E0DD8"/>
    <w:rsid w:val="00304652"/>
    <w:rsid w:val="0033125E"/>
    <w:rsid w:val="00334147"/>
    <w:rsid w:val="00342627"/>
    <w:rsid w:val="00350A91"/>
    <w:rsid w:val="00363186"/>
    <w:rsid w:val="00382ABC"/>
    <w:rsid w:val="00384B91"/>
    <w:rsid w:val="00386960"/>
    <w:rsid w:val="00393588"/>
    <w:rsid w:val="0039709F"/>
    <w:rsid w:val="003B3158"/>
    <w:rsid w:val="003B7DF3"/>
    <w:rsid w:val="003E2DF7"/>
    <w:rsid w:val="003E4A30"/>
    <w:rsid w:val="003E65E2"/>
    <w:rsid w:val="00400050"/>
    <w:rsid w:val="0040044C"/>
    <w:rsid w:val="00406674"/>
    <w:rsid w:val="004202D8"/>
    <w:rsid w:val="0042642E"/>
    <w:rsid w:val="00455845"/>
    <w:rsid w:val="004835F6"/>
    <w:rsid w:val="00483A80"/>
    <w:rsid w:val="004A094D"/>
    <w:rsid w:val="004A3C48"/>
    <w:rsid w:val="004A785C"/>
    <w:rsid w:val="004E3403"/>
    <w:rsid w:val="00514DA6"/>
    <w:rsid w:val="00521F4E"/>
    <w:rsid w:val="00523EC5"/>
    <w:rsid w:val="00525064"/>
    <w:rsid w:val="00570E2B"/>
    <w:rsid w:val="00574584"/>
    <w:rsid w:val="00592B85"/>
    <w:rsid w:val="005A0C4C"/>
    <w:rsid w:val="005A19FC"/>
    <w:rsid w:val="005A40B6"/>
    <w:rsid w:val="005A722A"/>
    <w:rsid w:val="005B0A6F"/>
    <w:rsid w:val="005B209B"/>
    <w:rsid w:val="005B48F1"/>
    <w:rsid w:val="005C1F63"/>
    <w:rsid w:val="005F21A3"/>
    <w:rsid w:val="005F76D9"/>
    <w:rsid w:val="00601F80"/>
    <w:rsid w:val="006111C2"/>
    <w:rsid w:val="006248B1"/>
    <w:rsid w:val="0065254F"/>
    <w:rsid w:val="0067023B"/>
    <w:rsid w:val="00672E35"/>
    <w:rsid w:val="0068347F"/>
    <w:rsid w:val="0069634B"/>
    <w:rsid w:val="006A39C6"/>
    <w:rsid w:val="006A4520"/>
    <w:rsid w:val="006C4770"/>
    <w:rsid w:val="006C6B6B"/>
    <w:rsid w:val="006E7CEA"/>
    <w:rsid w:val="006F1B20"/>
    <w:rsid w:val="00707E5E"/>
    <w:rsid w:val="00720BAD"/>
    <w:rsid w:val="00737A4F"/>
    <w:rsid w:val="007536F9"/>
    <w:rsid w:val="00770940"/>
    <w:rsid w:val="00780863"/>
    <w:rsid w:val="00782FE3"/>
    <w:rsid w:val="00783874"/>
    <w:rsid w:val="00790757"/>
    <w:rsid w:val="007963D2"/>
    <w:rsid w:val="007979B3"/>
    <w:rsid w:val="007A6B12"/>
    <w:rsid w:val="007C14F9"/>
    <w:rsid w:val="007D6BD6"/>
    <w:rsid w:val="007E2DD9"/>
    <w:rsid w:val="00834786"/>
    <w:rsid w:val="00836A82"/>
    <w:rsid w:val="00856D73"/>
    <w:rsid w:val="00882ACD"/>
    <w:rsid w:val="008837CB"/>
    <w:rsid w:val="0088666F"/>
    <w:rsid w:val="00894D97"/>
    <w:rsid w:val="00897244"/>
    <w:rsid w:val="008A336C"/>
    <w:rsid w:val="008A4396"/>
    <w:rsid w:val="008B687B"/>
    <w:rsid w:val="008D4CB6"/>
    <w:rsid w:val="009057DC"/>
    <w:rsid w:val="00906E39"/>
    <w:rsid w:val="00935063"/>
    <w:rsid w:val="0095145F"/>
    <w:rsid w:val="00957473"/>
    <w:rsid w:val="00963972"/>
    <w:rsid w:val="00970766"/>
    <w:rsid w:val="009850FD"/>
    <w:rsid w:val="009A7B97"/>
    <w:rsid w:val="009C14C1"/>
    <w:rsid w:val="009C27D2"/>
    <w:rsid w:val="009D4839"/>
    <w:rsid w:val="009F0975"/>
    <w:rsid w:val="00A26302"/>
    <w:rsid w:val="00A5177E"/>
    <w:rsid w:val="00A671D2"/>
    <w:rsid w:val="00A709C7"/>
    <w:rsid w:val="00A8541C"/>
    <w:rsid w:val="00AA2987"/>
    <w:rsid w:val="00AC01C2"/>
    <w:rsid w:val="00AC1297"/>
    <w:rsid w:val="00AC7A79"/>
    <w:rsid w:val="00AD0C67"/>
    <w:rsid w:val="00AE31F9"/>
    <w:rsid w:val="00AE378A"/>
    <w:rsid w:val="00AF3BC7"/>
    <w:rsid w:val="00B02B04"/>
    <w:rsid w:val="00B10C77"/>
    <w:rsid w:val="00B12507"/>
    <w:rsid w:val="00B138F1"/>
    <w:rsid w:val="00B1674E"/>
    <w:rsid w:val="00B2515D"/>
    <w:rsid w:val="00B53CED"/>
    <w:rsid w:val="00B7285A"/>
    <w:rsid w:val="00B76174"/>
    <w:rsid w:val="00BD1DCD"/>
    <w:rsid w:val="00BE51DA"/>
    <w:rsid w:val="00BF3977"/>
    <w:rsid w:val="00C007DD"/>
    <w:rsid w:val="00C04581"/>
    <w:rsid w:val="00C11E9E"/>
    <w:rsid w:val="00C20579"/>
    <w:rsid w:val="00C23333"/>
    <w:rsid w:val="00C404FB"/>
    <w:rsid w:val="00C4106F"/>
    <w:rsid w:val="00C5386E"/>
    <w:rsid w:val="00C54850"/>
    <w:rsid w:val="00C72396"/>
    <w:rsid w:val="00C866F6"/>
    <w:rsid w:val="00C91612"/>
    <w:rsid w:val="00C94B8A"/>
    <w:rsid w:val="00CA2D6F"/>
    <w:rsid w:val="00CB17FB"/>
    <w:rsid w:val="00CC2B5F"/>
    <w:rsid w:val="00CD506A"/>
    <w:rsid w:val="00CE1B59"/>
    <w:rsid w:val="00CF66C4"/>
    <w:rsid w:val="00CF7467"/>
    <w:rsid w:val="00D231DA"/>
    <w:rsid w:val="00D36DB8"/>
    <w:rsid w:val="00D52129"/>
    <w:rsid w:val="00D85B7B"/>
    <w:rsid w:val="00DA496F"/>
    <w:rsid w:val="00DB1316"/>
    <w:rsid w:val="00DB31A0"/>
    <w:rsid w:val="00DE0073"/>
    <w:rsid w:val="00DE39FE"/>
    <w:rsid w:val="00DF3974"/>
    <w:rsid w:val="00E26C92"/>
    <w:rsid w:val="00E41D54"/>
    <w:rsid w:val="00E50590"/>
    <w:rsid w:val="00E8365B"/>
    <w:rsid w:val="00E859BC"/>
    <w:rsid w:val="00EA0842"/>
    <w:rsid w:val="00EA1956"/>
    <w:rsid w:val="00EB0D27"/>
    <w:rsid w:val="00EB4F6C"/>
    <w:rsid w:val="00EC18FA"/>
    <w:rsid w:val="00EC35F4"/>
    <w:rsid w:val="00EC5456"/>
    <w:rsid w:val="00EE0DBC"/>
    <w:rsid w:val="00EE4629"/>
    <w:rsid w:val="00EF1D6F"/>
    <w:rsid w:val="00EF465E"/>
    <w:rsid w:val="00F370D6"/>
    <w:rsid w:val="00F521F6"/>
    <w:rsid w:val="00F83A25"/>
    <w:rsid w:val="00F924D0"/>
    <w:rsid w:val="00FA3516"/>
    <w:rsid w:val="00FC082C"/>
    <w:rsid w:val="00FC7C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58CB540"/>
  <w15:docId w15:val="{757147F6-4443-1147-8081-8D8103686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character" w:styleId="a4">
    <w:name w:val="annotation reference"/>
    <w:basedOn w:val="a0"/>
    <w:uiPriority w:val="99"/>
    <w:semiHidden/>
    <w:unhideWhenUsed/>
    <w:rsid w:val="00FD2C86"/>
    <w:rPr>
      <w:sz w:val="16"/>
      <w:szCs w:val="16"/>
    </w:rPr>
  </w:style>
  <w:style w:type="paragraph" w:styleId="a5">
    <w:name w:val="annotation text"/>
    <w:basedOn w:val="a"/>
    <w:link w:val="a6"/>
    <w:uiPriority w:val="99"/>
    <w:unhideWhenUsed/>
    <w:rsid w:val="00FD2C86"/>
    <w:rPr>
      <w:sz w:val="20"/>
      <w:szCs w:val="20"/>
    </w:rPr>
  </w:style>
  <w:style w:type="character" w:customStyle="1" w:styleId="a6">
    <w:name w:val="コメント文字列 (文字)"/>
    <w:basedOn w:val="a0"/>
    <w:link w:val="a5"/>
    <w:uiPriority w:val="99"/>
    <w:rsid w:val="00FD2C86"/>
    <w:rPr>
      <w:sz w:val="20"/>
      <w:szCs w:val="20"/>
    </w:rPr>
  </w:style>
  <w:style w:type="paragraph" w:styleId="a7">
    <w:name w:val="annotation subject"/>
    <w:basedOn w:val="a5"/>
    <w:next w:val="a5"/>
    <w:link w:val="a8"/>
    <w:uiPriority w:val="99"/>
    <w:semiHidden/>
    <w:unhideWhenUsed/>
    <w:rsid w:val="00FD2C86"/>
    <w:rPr>
      <w:b/>
      <w:bCs/>
    </w:rPr>
  </w:style>
  <w:style w:type="character" w:customStyle="1" w:styleId="a8">
    <w:name w:val="コメント内容 (文字)"/>
    <w:basedOn w:val="a6"/>
    <w:link w:val="a7"/>
    <w:uiPriority w:val="99"/>
    <w:semiHidden/>
    <w:rsid w:val="00FD2C86"/>
    <w:rPr>
      <w:b/>
      <w:bCs/>
      <w:sz w:val="20"/>
      <w:szCs w:val="20"/>
    </w:rPr>
  </w:style>
  <w:style w:type="paragraph" w:styleId="a9">
    <w:name w:val="Balloon Text"/>
    <w:basedOn w:val="a"/>
    <w:link w:val="aa"/>
    <w:uiPriority w:val="99"/>
    <w:semiHidden/>
    <w:unhideWhenUsed/>
    <w:rsid w:val="00FD2C86"/>
    <w:rPr>
      <w:rFonts w:ascii="Times New Roman" w:hAnsi="Times New Roman" w:cs="Times New Roman"/>
      <w:sz w:val="18"/>
      <w:szCs w:val="18"/>
    </w:rPr>
  </w:style>
  <w:style w:type="character" w:customStyle="1" w:styleId="aa">
    <w:name w:val="吹き出し (文字)"/>
    <w:basedOn w:val="a0"/>
    <w:link w:val="a9"/>
    <w:uiPriority w:val="99"/>
    <w:semiHidden/>
    <w:rsid w:val="00FD2C86"/>
    <w:rPr>
      <w:rFonts w:ascii="Times New Roman" w:hAnsi="Times New Roman" w:cs="Times New Roman"/>
      <w:sz w:val="18"/>
      <w:szCs w:val="18"/>
    </w:rPr>
  </w:style>
  <w:style w:type="paragraph" w:styleId="ab">
    <w:name w:val="Revision"/>
    <w:hidden/>
    <w:uiPriority w:val="99"/>
    <w:semiHidden/>
    <w:rsid w:val="0025439A"/>
  </w:style>
  <w:style w:type="paragraph" w:styleId="ac">
    <w:name w:val="header"/>
    <w:basedOn w:val="a"/>
    <w:link w:val="ad"/>
    <w:uiPriority w:val="99"/>
    <w:unhideWhenUsed/>
    <w:rsid w:val="007E781E"/>
    <w:pPr>
      <w:tabs>
        <w:tab w:val="center" w:pos="4513"/>
        <w:tab w:val="right" w:pos="9026"/>
      </w:tabs>
      <w:snapToGrid w:val="0"/>
    </w:pPr>
  </w:style>
  <w:style w:type="character" w:customStyle="1" w:styleId="ad">
    <w:name w:val="ヘッダー (文字)"/>
    <w:basedOn w:val="a0"/>
    <w:link w:val="ac"/>
    <w:uiPriority w:val="99"/>
    <w:rsid w:val="007E781E"/>
  </w:style>
  <w:style w:type="paragraph" w:styleId="ae">
    <w:name w:val="footer"/>
    <w:basedOn w:val="a"/>
    <w:link w:val="af"/>
    <w:uiPriority w:val="99"/>
    <w:unhideWhenUsed/>
    <w:rsid w:val="007E781E"/>
    <w:pPr>
      <w:tabs>
        <w:tab w:val="center" w:pos="4513"/>
        <w:tab w:val="right" w:pos="9026"/>
      </w:tabs>
      <w:snapToGrid w:val="0"/>
    </w:pPr>
  </w:style>
  <w:style w:type="character" w:customStyle="1" w:styleId="af">
    <w:name w:val="フッター (文字)"/>
    <w:basedOn w:val="a0"/>
    <w:link w:val="ae"/>
    <w:uiPriority w:val="99"/>
    <w:rsid w:val="007E781E"/>
  </w:style>
  <w:style w:type="character" w:styleId="af0">
    <w:name w:val="page number"/>
    <w:basedOn w:val="a0"/>
    <w:uiPriority w:val="99"/>
    <w:semiHidden/>
    <w:unhideWhenUsed/>
    <w:rsid w:val="007E781E"/>
  </w:style>
  <w:style w:type="paragraph" w:styleId="af1">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top w:w="15" w:type="dxa"/>
        <w:left w:w="15" w:type="dxa"/>
        <w:bottom w:w="15" w:type="dxa"/>
        <w:right w:w="15" w:type="dxa"/>
      </w:tblCellMar>
    </w:tblPr>
  </w:style>
  <w:style w:type="table" w:customStyle="1" w:styleId="af3">
    <w:basedOn w:val="a1"/>
    <w:tblPr>
      <w:tblStyleRowBandSize w:val="1"/>
      <w:tblStyleColBandSize w:val="1"/>
      <w:tblCellMar>
        <w:top w:w="15" w:type="dxa"/>
        <w:left w:w="15" w:type="dxa"/>
        <w:bottom w:w="15" w:type="dxa"/>
        <w:right w:w="15" w:type="dxa"/>
      </w:tblCellMar>
    </w:tblPr>
  </w:style>
  <w:style w:type="table" w:customStyle="1" w:styleId="af4">
    <w:basedOn w:val="a1"/>
    <w:tblPr>
      <w:tblStyleRowBandSize w:val="1"/>
      <w:tblStyleColBandSize w:val="1"/>
      <w:tblCellMar>
        <w:top w:w="15" w:type="dxa"/>
        <w:left w:w="15" w:type="dxa"/>
        <w:bottom w:w="15" w:type="dxa"/>
        <w:right w:w="15" w:type="dxa"/>
      </w:tblCellMar>
    </w:tblPr>
  </w:style>
  <w:style w:type="table" w:customStyle="1" w:styleId="af5">
    <w:basedOn w:val="a1"/>
    <w:tblPr>
      <w:tblStyleRowBandSize w:val="1"/>
      <w:tblStyleColBandSize w:val="1"/>
      <w:tblCellMar>
        <w:top w:w="15" w:type="dxa"/>
        <w:left w:w="15" w:type="dxa"/>
        <w:bottom w:w="15" w:type="dxa"/>
        <w:right w:w="15" w:type="dxa"/>
      </w:tblCellMar>
    </w:tblPr>
  </w:style>
  <w:style w:type="table" w:customStyle="1" w:styleId="af6">
    <w:basedOn w:val="a1"/>
    <w:tblPr>
      <w:tblStyleRowBandSize w:val="1"/>
      <w:tblStyleColBandSize w:val="1"/>
      <w:tblCellMar>
        <w:top w:w="15" w:type="dxa"/>
        <w:left w:w="15" w:type="dxa"/>
        <w:bottom w:w="15" w:type="dxa"/>
        <w:right w:w="15" w:type="dxa"/>
      </w:tblCellMar>
    </w:tblPr>
  </w:style>
  <w:style w:type="table" w:customStyle="1" w:styleId="af7">
    <w:basedOn w:val="a1"/>
    <w:tblPr>
      <w:tblStyleRowBandSize w:val="1"/>
      <w:tblStyleColBandSize w:val="1"/>
      <w:tblCellMar>
        <w:top w:w="15" w:type="dxa"/>
        <w:left w:w="15" w:type="dxa"/>
        <w:bottom w:w="15" w:type="dxa"/>
        <w:right w:w="15" w:type="dxa"/>
      </w:tblCellMar>
    </w:tblPr>
  </w:style>
  <w:style w:type="table" w:customStyle="1" w:styleId="af8">
    <w:basedOn w:val="a1"/>
    <w:tblPr>
      <w:tblStyleRowBandSize w:val="1"/>
      <w:tblStyleColBandSize w:val="1"/>
      <w:tblCellMar>
        <w:top w:w="15" w:type="dxa"/>
        <w:left w:w="15" w:type="dxa"/>
        <w:bottom w:w="15" w:type="dxa"/>
        <w:right w:w="15" w:type="dxa"/>
      </w:tblCellMar>
    </w:tblPr>
  </w:style>
  <w:style w:type="table" w:customStyle="1" w:styleId="af9">
    <w:basedOn w:val="a1"/>
    <w:tblPr>
      <w:tblStyleRowBandSize w:val="1"/>
      <w:tblStyleColBandSize w:val="1"/>
      <w:tblCellMar>
        <w:top w:w="15" w:type="dxa"/>
        <w:left w:w="15" w:type="dxa"/>
        <w:bottom w:w="15" w:type="dxa"/>
        <w:right w:w="15" w:type="dxa"/>
      </w:tblCellMar>
    </w:tblPr>
  </w:style>
  <w:style w:type="table" w:customStyle="1" w:styleId="afa">
    <w:basedOn w:val="a1"/>
    <w:tblPr>
      <w:tblStyleRowBandSize w:val="1"/>
      <w:tblStyleColBandSize w:val="1"/>
      <w:tblCellMar>
        <w:top w:w="15" w:type="dxa"/>
        <w:left w:w="15" w:type="dxa"/>
        <w:bottom w:w="15" w:type="dxa"/>
        <w:right w:w="15" w:type="dxa"/>
      </w:tblCellMar>
    </w:tblPr>
  </w:style>
  <w:style w:type="table" w:customStyle="1" w:styleId="afb">
    <w:basedOn w:val="a1"/>
    <w:tblPr>
      <w:tblStyleRowBandSize w:val="1"/>
      <w:tblStyleColBandSize w:val="1"/>
      <w:tblCellMar>
        <w:top w:w="15" w:type="dxa"/>
        <w:left w:w="15" w:type="dxa"/>
        <w:bottom w:w="15" w:type="dxa"/>
        <w:right w:w="15" w:type="dxa"/>
      </w:tblCellMar>
    </w:tblPr>
  </w:style>
  <w:style w:type="table" w:customStyle="1" w:styleId="afc">
    <w:basedOn w:val="a1"/>
    <w:tblPr>
      <w:tblStyleRowBandSize w:val="1"/>
      <w:tblStyleColBandSize w:val="1"/>
      <w:tblCellMar>
        <w:top w:w="15" w:type="dxa"/>
        <w:left w:w="15" w:type="dxa"/>
        <w:bottom w:w="15" w:type="dxa"/>
        <w:right w:w="15" w:type="dxa"/>
      </w:tblCellMar>
    </w:tblPr>
  </w:style>
  <w:style w:type="table" w:customStyle="1" w:styleId="afd">
    <w:basedOn w:val="a1"/>
    <w:tblPr>
      <w:tblStyleRowBandSize w:val="1"/>
      <w:tblStyleColBandSize w:val="1"/>
      <w:tblCellMar>
        <w:top w:w="15" w:type="dxa"/>
        <w:left w:w="15" w:type="dxa"/>
        <w:bottom w:w="15" w:type="dxa"/>
        <w:right w:w="15" w:type="dxa"/>
      </w:tblCellMar>
    </w:tblPr>
  </w:style>
  <w:style w:type="table" w:customStyle="1" w:styleId="afe">
    <w:basedOn w:val="a1"/>
    <w:tblPr>
      <w:tblStyleRowBandSize w:val="1"/>
      <w:tblStyleColBandSize w:val="1"/>
      <w:tblCellMar>
        <w:top w:w="15" w:type="dxa"/>
        <w:left w:w="15" w:type="dxa"/>
        <w:bottom w:w="15" w:type="dxa"/>
        <w:right w:w="15" w:type="dxa"/>
      </w:tblCellMar>
    </w:tblPr>
  </w:style>
  <w:style w:type="table" w:customStyle="1" w:styleId="aff">
    <w:basedOn w:val="a1"/>
    <w:tblPr>
      <w:tblStyleRowBandSize w:val="1"/>
      <w:tblStyleColBandSize w:val="1"/>
      <w:tblCellMar>
        <w:top w:w="15" w:type="dxa"/>
        <w:left w:w="15" w:type="dxa"/>
        <w:bottom w:w="15" w:type="dxa"/>
        <w:right w:w="15" w:type="dxa"/>
      </w:tblCellMar>
    </w:tblPr>
  </w:style>
  <w:style w:type="table" w:customStyle="1" w:styleId="aff0">
    <w:basedOn w:val="a1"/>
    <w:tblPr>
      <w:tblStyleRowBandSize w:val="1"/>
      <w:tblStyleColBandSize w:val="1"/>
      <w:tblCellMar>
        <w:top w:w="15" w:type="dxa"/>
        <w:left w:w="15" w:type="dxa"/>
        <w:bottom w:w="15" w:type="dxa"/>
        <w:right w:w="15" w:type="dxa"/>
      </w:tblCellMar>
    </w:tblPr>
  </w:style>
  <w:style w:type="table" w:customStyle="1" w:styleId="aff1">
    <w:basedOn w:val="a1"/>
    <w:tblPr>
      <w:tblStyleRowBandSize w:val="1"/>
      <w:tblStyleColBandSize w:val="1"/>
      <w:tblCellMar>
        <w:top w:w="15" w:type="dxa"/>
        <w:left w:w="15" w:type="dxa"/>
        <w:bottom w:w="15" w:type="dxa"/>
        <w:right w:w="15" w:type="dxa"/>
      </w:tblCellMar>
    </w:tblPr>
  </w:style>
  <w:style w:type="table" w:customStyle="1" w:styleId="aff2">
    <w:basedOn w:val="a1"/>
    <w:tblPr>
      <w:tblStyleRowBandSize w:val="1"/>
      <w:tblStyleColBandSize w:val="1"/>
      <w:tblCellMar>
        <w:top w:w="15" w:type="dxa"/>
        <w:left w:w="15" w:type="dxa"/>
        <w:bottom w:w="15" w:type="dxa"/>
        <w:right w:w="15" w:type="dxa"/>
      </w:tblCellMar>
    </w:tblPr>
  </w:style>
  <w:style w:type="table" w:customStyle="1" w:styleId="aff3">
    <w:basedOn w:val="a1"/>
    <w:tblPr>
      <w:tblStyleRowBandSize w:val="1"/>
      <w:tblStyleColBandSize w:val="1"/>
      <w:tblCellMar>
        <w:top w:w="15" w:type="dxa"/>
        <w:left w:w="15" w:type="dxa"/>
        <w:bottom w:w="15" w:type="dxa"/>
        <w:right w:w="15" w:type="dxa"/>
      </w:tblCellMar>
    </w:tblPr>
  </w:style>
  <w:style w:type="table" w:customStyle="1" w:styleId="aff4">
    <w:basedOn w:val="a1"/>
    <w:tblPr>
      <w:tblStyleRowBandSize w:val="1"/>
      <w:tblStyleColBandSize w:val="1"/>
      <w:tblCellMar>
        <w:top w:w="15" w:type="dxa"/>
        <w:left w:w="15" w:type="dxa"/>
        <w:bottom w:w="15" w:type="dxa"/>
        <w:right w:w="15" w:type="dxa"/>
      </w:tblCellMar>
    </w:tblPr>
  </w:style>
  <w:style w:type="table" w:customStyle="1" w:styleId="aff5">
    <w:basedOn w:val="a1"/>
    <w:tblPr>
      <w:tblStyleRowBandSize w:val="1"/>
      <w:tblStyleColBandSize w:val="1"/>
      <w:tblCellMar>
        <w:top w:w="15" w:type="dxa"/>
        <w:left w:w="15" w:type="dxa"/>
        <w:bottom w:w="15" w:type="dxa"/>
        <w:right w:w="15" w:type="dxa"/>
      </w:tblCellMar>
    </w:tblPr>
  </w:style>
  <w:style w:type="table" w:customStyle="1" w:styleId="aff6">
    <w:basedOn w:val="a1"/>
    <w:tblPr>
      <w:tblStyleRowBandSize w:val="1"/>
      <w:tblStyleColBandSize w:val="1"/>
      <w:tblCellMar>
        <w:top w:w="15" w:type="dxa"/>
        <w:left w:w="15" w:type="dxa"/>
        <w:bottom w:w="15" w:type="dxa"/>
        <w:right w:w="15" w:type="dxa"/>
      </w:tblCellMar>
    </w:tblPr>
  </w:style>
  <w:style w:type="table" w:customStyle="1" w:styleId="aff7">
    <w:basedOn w:val="a1"/>
    <w:tblPr>
      <w:tblStyleRowBandSize w:val="1"/>
      <w:tblStyleColBandSize w:val="1"/>
      <w:tblCellMar>
        <w:top w:w="15" w:type="dxa"/>
        <w:left w:w="15" w:type="dxa"/>
        <w:bottom w:w="15" w:type="dxa"/>
        <w:right w:w="15" w:type="dxa"/>
      </w:tblCellMar>
    </w:tblPr>
  </w:style>
  <w:style w:type="table" w:customStyle="1" w:styleId="aff8">
    <w:basedOn w:val="a1"/>
    <w:tblPr>
      <w:tblStyleRowBandSize w:val="1"/>
      <w:tblStyleColBandSize w:val="1"/>
      <w:tblCellMar>
        <w:top w:w="15" w:type="dxa"/>
        <w:left w:w="15" w:type="dxa"/>
        <w:bottom w:w="15" w:type="dxa"/>
        <w:right w:w="15" w:type="dxa"/>
      </w:tblCellMar>
    </w:tblPr>
  </w:style>
  <w:style w:type="table" w:customStyle="1" w:styleId="aff9">
    <w:basedOn w:val="a1"/>
    <w:tblPr>
      <w:tblStyleRowBandSize w:val="1"/>
      <w:tblStyleColBandSize w:val="1"/>
      <w:tblCellMar>
        <w:top w:w="15" w:type="dxa"/>
        <w:left w:w="15" w:type="dxa"/>
        <w:bottom w:w="15" w:type="dxa"/>
        <w:right w:w="15" w:type="dxa"/>
      </w:tblCellMar>
    </w:tblPr>
  </w:style>
  <w:style w:type="table" w:customStyle="1" w:styleId="affa">
    <w:basedOn w:val="a1"/>
    <w:tblPr>
      <w:tblStyleRowBandSize w:val="1"/>
      <w:tblStyleColBandSize w:val="1"/>
      <w:tblCellMar>
        <w:top w:w="15" w:type="dxa"/>
        <w:left w:w="15" w:type="dxa"/>
        <w:bottom w:w="15" w:type="dxa"/>
        <w:right w:w="15" w:type="dxa"/>
      </w:tblCellMar>
    </w:tblPr>
  </w:style>
  <w:style w:type="table" w:customStyle="1" w:styleId="affb">
    <w:basedOn w:val="a1"/>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7634218">
      <w:bodyDiv w:val="1"/>
      <w:marLeft w:val="0"/>
      <w:marRight w:val="0"/>
      <w:marTop w:val="0"/>
      <w:marBottom w:val="0"/>
      <w:divBdr>
        <w:top w:val="none" w:sz="0" w:space="0" w:color="auto"/>
        <w:left w:val="none" w:sz="0" w:space="0" w:color="auto"/>
        <w:bottom w:val="none" w:sz="0" w:space="0" w:color="auto"/>
        <w:right w:val="none" w:sz="0" w:space="0" w:color="auto"/>
      </w:divBdr>
    </w:div>
    <w:div w:id="12020096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kmLM5onyfcnheRp7FJk6fSsRejQ==">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</go:docsCustomData>
</go:gDocsCustomXmlDataStorage>
</file>

<file path=customXml/itemProps1.xml><?xml version="1.0" encoding="utf-8"?>
<ds:datastoreItem xmlns:ds="http://schemas.openxmlformats.org/officeDocument/2006/customXml" ds:itemID="{531C9A17-7148-4461-B523-9E9D13BFAF6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288</Words>
  <Characters>1642</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Kirsty Munro</dc:creator>
  <cp:lastModifiedBy>Sayaka Yabe</cp:lastModifiedBy>
  <cp:revision>2</cp:revision>
  <dcterms:created xsi:type="dcterms:W3CDTF">2022-11-08T08:39:00Z</dcterms:created>
  <dcterms:modified xsi:type="dcterms:W3CDTF">2022-11-08T08:39:00Z</dcterms:modified>
</cp:coreProperties>
</file>