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52311" w14:textId="77777777" w:rsidR="006622BF" w:rsidRDefault="006622BF" w:rsidP="006622B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Saffron Liqueur Brewery</w:t>
      </w:r>
    </w:p>
    <w:p w14:paraId="503F36B7" w14:textId="77777777" w:rsidR="006622BF" w:rsidRDefault="006622BF" w:rsidP="006622B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p>
    <w:p w14:paraId="2422E7EB" w14:textId="77777777" w:rsidR="006622BF" w:rsidRDefault="006622BF" w:rsidP="006622B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rPr>
          <w:color w:val="000000"/>
        </w:rPr>
      </w:pPr>
      <w:r>
        <w:rPr>
          <w:rFonts w:eastAsia="Times New Roman"/>
          <w:color w:val="000000"/>
        </w:rPr>
        <w:t>The thick texture, floral fragrance, and sweet taste of saffron liqueur made it a popular beverage across Japan, particularly during the 1930s, when it even spread outside the country to Hawaii. These days, the drink is mostly exclusive to the Nagaoka area. Saffron itself, however, is still the world’s most expensive spice, and is often worth more per kilogram than gold. What makes it such a valuable commodity is that it has to be painstakingly harvested by hand. Only the head of the flower’s pistil holds use for cooking (and making saffron liqueur).</w:t>
      </w:r>
    </w:p>
    <w:p w14:paraId="6A27E940" w14:textId="77777777" w:rsidR="006622BF" w:rsidRDefault="006622BF" w:rsidP="006622B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 xml:space="preserve">In the past, saffron liqueur also served as a home remedy. People used it as a medicinal tonic in the belief it could help fight colds, coughs, and congestion. Its syrupy texture and honey-flavor were also said to be soothing to sore throats and to boost energy levels. As an alcoholic drink, saffron liqueur offers a sweet alternative to the sometimes hard-edged or bitter taste of liquor or beer. In addition to honey, it contains extracts of cloves and licorice. </w:t>
      </w:r>
    </w:p>
    <w:p w14:paraId="182C3603" w14:textId="77777777" w:rsidR="006622BF" w:rsidRDefault="006622BF" w:rsidP="006622B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Construction of the Saffron Liqueur Brewery began during the Meiji era (1868–1912). Buildings were added over several decades as the operation expanded during the Taisho era (1912–1926). Yoshizawa Nitaro, the founder, was known for his colorful taste in decor and design, and the buildings inside the brewery complex tend to favor artistic flair over practical function.</w:t>
      </w:r>
    </w:p>
    <w:p w14:paraId="7320CAEF" w14:textId="77777777" w:rsidR="006622BF" w:rsidRDefault="006622BF" w:rsidP="006622B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 xml:space="preserve">The storehouse is a striking example of the plasterwork developed in the Edo period (1603–1867). The eaves are decorated with ornate dragon designs, and the shutters for the windows feature intricate plaster reliefs called </w:t>
      </w:r>
      <w:r>
        <w:rPr>
          <w:rFonts w:eastAsia="Times New Roman"/>
          <w:i/>
          <w:color w:val="000000"/>
        </w:rPr>
        <w:t>kote-e</w:t>
      </w:r>
      <w:r>
        <w:rPr>
          <w:rFonts w:eastAsia="Times New Roman"/>
          <w:color w:val="000000"/>
        </w:rPr>
        <w:t xml:space="preserve"> (“trowel pictures”). Such personalized artwork on building exteriors is rare, likely because it was costly to implement.</w:t>
      </w:r>
    </w:p>
    <w:p w14:paraId="4C16155B" w14:textId="77777777" w:rsidR="006622BF" w:rsidRDefault="006622BF" w:rsidP="006622B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 xml:space="preserve">This unique design approach continues into the garden, which incorporates reddish-brown volcanic rocks that were brought from Mt. Asama in neighboring Nagano Prefecture. Nitaro also spared no expense on interior design. Many of the internal beams, frames, and doorways in the storehouse and main brewery building are made of high-grade wood, of the kind usually reserved for </w:t>
      </w:r>
      <w:r>
        <w:rPr>
          <w:rFonts w:eastAsia="Times New Roman"/>
          <w:color w:val="000000"/>
          <w:highlight w:val="white"/>
        </w:rPr>
        <w:t>expensive</w:t>
      </w:r>
      <w:r>
        <w:rPr>
          <w:rFonts w:eastAsia="Times New Roman"/>
          <w:color w:val="000000"/>
        </w:rPr>
        <w:t xml:space="preserve"> cabinetry.</w:t>
      </w:r>
    </w:p>
    <w:p w14:paraId="063E1882" w14:textId="77777777" w:rsidR="006622BF" w:rsidRDefault="006622BF" w:rsidP="006622B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 w:val="left" w:pos="7920"/>
        </w:tabs>
        <w:ind w:firstLine="288"/>
        <w:rPr>
          <w:color w:val="000000"/>
        </w:rPr>
      </w:pPr>
      <w:r>
        <w:rPr>
          <w:rFonts w:eastAsia="Times New Roman"/>
          <w:color w:val="000000"/>
        </w:rPr>
        <w:t xml:space="preserve">The “Kote-e Warehouse” is </w:t>
      </w:r>
      <w:r>
        <w:t xml:space="preserve">attached to </w:t>
      </w:r>
      <w:r>
        <w:rPr>
          <w:rFonts w:eastAsia="Times New Roman"/>
          <w:color w:val="000000"/>
        </w:rPr>
        <w:t>the main building. This large storage room is entered through a huge door that is decorated with the same</w:t>
      </w:r>
      <w:r>
        <w:rPr>
          <w:rFonts w:eastAsia="Times New Roman"/>
          <w:i/>
          <w:color w:val="000000"/>
        </w:rPr>
        <w:t xml:space="preserve"> kote-e </w:t>
      </w:r>
      <w:r>
        <w:rPr>
          <w:rFonts w:eastAsia="Times New Roman"/>
          <w:color w:val="000000"/>
        </w:rPr>
        <w:t>dragon patterns as the storehouse exterior. It was designated a national Tangible Cultural Property in 2006.</w:t>
      </w:r>
    </w:p>
    <w:p w14:paraId="173EDB8A" w14:textId="77777777" w:rsidR="006622BF" w:rsidRDefault="006622BF" w:rsidP="006622BF">
      <w:pPr>
        <w:widowControl w:val="0"/>
        <w:tabs>
          <w:tab w:val="left" w:pos="709"/>
          <w:tab w:val="left" w:pos="1418"/>
          <w:tab w:val="left" w:pos="2127"/>
          <w:tab w:val="left" w:pos="2836"/>
          <w:tab w:val="left" w:pos="3545"/>
          <w:tab w:val="left" w:pos="4254"/>
          <w:tab w:val="left" w:pos="4963"/>
          <w:tab w:val="left" w:pos="5672"/>
          <w:tab w:val="left" w:pos="6381"/>
          <w:tab w:val="left" w:pos="7090"/>
          <w:tab w:val="left" w:pos="7799"/>
        </w:tabs>
        <w:ind w:firstLine="288"/>
        <w:rPr>
          <w:color w:val="000000"/>
        </w:rPr>
      </w:pPr>
      <w:r>
        <w:rPr>
          <w:rFonts w:eastAsia="Times New Roman"/>
          <w:color w:val="000000"/>
        </w:rPr>
        <w:t>The second floor of the “Kote-e Warehouse” is a small museum dedicated to the history of saffron liqueur. The exhibits include examples of magazines and various artworks such as posters, as well as related household items from saffron liqueur’s heyday in the 1930s. The museum also offers more information on the Yoshizawa family and how they have managed the facility over the years.</w:t>
      </w:r>
    </w:p>
    <w:p w14:paraId="0A30A9B2" w14:textId="77777777" w:rsidR="000E21EC" w:rsidRPr="006622BF" w:rsidRDefault="000E21EC" w:rsidP="006622BF"/>
    <w:sectPr w:rsidR="000E21EC" w:rsidRPr="006622BF">
      <w:headerReference w:type="default" r:id="rId8"/>
      <w:pgSz w:w="11900" w:h="16840"/>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E13E" w14:textId="77777777" w:rsidR="00563F1D" w:rsidRDefault="00563F1D">
      <w:r>
        <w:separator/>
      </w:r>
    </w:p>
  </w:endnote>
  <w:endnote w:type="continuationSeparator" w:id="0">
    <w:p w14:paraId="6E08ABEC" w14:textId="77777777" w:rsidR="00563F1D" w:rsidRDefault="00563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Neue">
    <w:altName w:val="Arial"/>
    <w:charset w:val="00"/>
    <w:family w:val="auto"/>
    <w:pitch w:val="default"/>
  </w:font>
  <w:font w:name="Arial Unicode MS">
    <w:panose1 w:val="020B0604020202020204"/>
    <w:charset w:val="80"/>
    <w:family w:val="modern"/>
    <w:pitch w:val="variable"/>
    <w:sig w:usb0="F7FFAFFF" w:usb1="E9DFFFFF" w:usb2="0000003F" w:usb3="00000000" w:csb0="003F01FF" w:csb1="00000000"/>
  </w:font>
  <w:font w:name="Georgia">
    <w:altName w:val="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58F5" w14:textId="77777777" w:rsidR="00563F1D" w:rsidRDefault="00563F1D">
      <w:r>
        <w:separator/>
      </w:r>
    </w:p>
  </w:footnote>
  <w:footnote w:type="continuationSeparator" w:id="0">
    <w:p w14:paraId="24642F5D" w14:textId="77777777" w:rsidR="00563F1D" w:rsidRDefault="00563F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2E814" w14:textId="77777777" w:rsidR="005C0374" w:rsidRDefault="005C0374">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8875A0"/>
    <w:multiLevelType w:val="multilevel"/>
    <w:tmpl w:val="868A01B6"/>
    <w:lvl w:ilvl="0">
      <w:start w:val="1"/>
      <w:numFmt w:val="decimal"/>
      <w:lvlText w:val="%1)"/>
      <w:lvlJc w:val="left"/>
      <w:pPr>
        <w:ind w:left="480" w:hanging="72"/>
      </w:pPr>
      <w:rPr>
        <w:smallCaps w:val="0"/>
        <w:strike w:val="0"/>
        <w:shd w:val="clear" w:color="auto" w:fill="auto"/>
        <w:vertAlign w:val="baseline"/>
      </w:rPr>
    </w:lvl>
    <w:lvl w:ilvl="1">
      <w:start w:val="1"/>
      <w:numFmt w:val="decimal"/>
      <w:lvlText w:val="%2."/>
      <w:lvlJc w:val="left"/>
      <w:pPr>
        <w:ind w:left="720" w:hanging="192"/>
      </w:pPr>
      <w:rPr>
        <w:smallCaps w:val="0"/>
        <w:strike w:val="0"/>
        <w:shd w:val="clear" w:color="auto" w:fill="auto"/>
        <w:vertAlign w:val="baseline"/>
      </w:rPr>
    </w:lvl>
    <w:lvl w:ilvl="2">
      <w:start w:val="1"/>
      <w:numFmt w:val="decimal"/>
      <w:lvlText w:val="%2.%3."/>
      <w:lvlJc w:val="left"/>
      <w:pPr>
        <w:ind w:left="1269" w:firstLine="120"/>
      </w:pPr>
      <w:rPr>
        <w:smallCaps w:val="0"/>
        <w:strike w:val="0"/>
        <w:shd w:val="clear" w:color="auto" w:fill="auto"/>
        <w:vertAlign w:val="baseline"/>
      </w:rPr>
    </w:lvl>
    <w:lvl w:ilvl="3">
      <w:start w:val="1"/>
      <w:numFmt w:val="decimal"/>
      <w:lvlText w:val="%2.%3.%4."/>
      <w:lvlJc w:val="left"/>
      <w:pPr>
        <w:ind w:left="1400" w:firstLine="120"/>
      </w:pPr>
      <w:rPr>
        <w:smallCaps w:val="0"/>
        <w:strike w:val="0"/>
        <w:shd w:val="clear" w:color="auto" w:fill="auto"/>
        <w:vertAlign w:val="baseline"/>
      </w:rPr>
    </w:lvl>
    <w:lvl w:ilvl="4">
      <w:start w:val="1"/>
      <w:numFmt w:val="decimal"/>
      <w:lvlText w:val="%2.%3.%4.%5."/>
      <w:lvlJc w:val="left"/>
      <w:pPr>
        <w:ind w:left="2006" w:hanging="312"/>
      </w:pPr>
      <w:rPr>
        <w:smallCaps w:val="0"/>
        <w:strike w:val="0"/>
        <w:shd w:val="clear" w:color="auto" w:fill="auto"/>
        <w:vertAlign w:val="baseline"/>
      </w:rPr>
    </w:lvl>
    <w:lvl w:ilvl="5">
      <w:start w:val="1"/>
      <w:numFmt w:val="decimal"/>
      <w:lvlText w:val="%2.%3.%4.%5.%6."/>
      <w:lvlJc w:val="left"/>
      <w:pPr>
        <w:ind w:left="2037" w:firstLine="120"/>
      </w:pPr>
      <w:rPr>
        <w:smallCaps w:val="0"/>
        <w:strike w:val="0"/>
        <w:shd w:val="clear" w:color="auto" w:fill="auto"/>
        <w:vertAlign w:val="baseline"/>
      </w:rPr>
    </w:lvl>
    <w:lvl w:ilvl="6">
      <w:start w:val="1"/>
      <w:numFmt w:val="decimal"/>
      <w:lvlText w:val="%2.%3.%4.%5.%6.%7."/>
      <w:lvlJc w:val="left"/>
      <w:pPr>
        <w:ind w:left="2743" w:firstLine="120"/>
      </w:pPr>
      <w:rPr>
        <w:smallCaps w:val="0"/>
        <w:strike w:val="0"/>
        <w:shd w:val="clear" w:color="auto" w:fill="auto"/>
        <w:vertAlign w:val="baseline"/>
      </w:rPr>
    </w:lvl>
    <w:lvl w:ilvl="7">
      <w:start w:val="1"/>
      <w:numFmt w:val="decimal"/>
      <w:lvlText w:val="%2.%3.%4.%5.%6.%7.%8."/>
      <w:lvlJc w:val="left"/>
      <w:pPr>
        <w:ind w:left="3051" w:firstLine="120"/>
      </w:pPr>
      <w:rPr>
        <w:smallCaps w:val="0"/>
        <w:strike w:val="0"/>
        <w:shd w:val="clear" w:color="auto" w:fill="auto"/>
        <w:vertAlign w:val="baseline"/>
      </w:rPr>
    </w:lvl>
    <w:lvl w:ilvl="8">
      <w:start w:val="1"/>
      <w:numFmt w:val="decimal"/>
      <w:lvlText w:val="%2.%3.%4.%5.%6.%7.%8.%9."/>
      <w:lvlJc w:val="left"/>
      <w:pPr>
        <w:ind w:left="3480" w:firstLine="120"/>
      </w:pPr>
      <w:rPr>
        <w:smallCaps w:val="0"/>
        <w:strike w:val="0"/>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1EC"/>
    <w:rsid w:val="000C71F7"/>
    <w:rsid w:val="000E21EC"/>
    <w:rsid w:val="00110707"/>
    <w:rsid w:val="001E3AAC"/>
    <w:rsid w:val="002F0B34"/>
    <w:rsid w:val="0033265E"/>
    <w:rsid w:val="003A039D"/>
    <w:rsid w:val="004E11B7"/>
    <w:rsid w:val="00516E69"/>
    <w:rsid w:val="00563F1D"/>
    <w:rsid w:val="005A074A"/>
    <w:rsid w:val="005C0374"/>
    <w:rsid w:val="005E3319"/>
    <w:rsid w:val="006622BF"/>
    <w:rsid w:val="006633D1"/>
    <w:rsid w:val="00764022"/>
    <w:rsid w:val="008F5F66"/>
    <w:rsid w:val="00A15856"/>
    <w:rsid w:val="00C30E1E"/>
    <w:rsid w:val="00C32E43"/>
    <w:rsid w:val="00C54E83"/>
    <w:rsid w:val="00D0078A"/>
    <w:rsid w:val="00EC1C0C"/>
    <w:rsid w:val="00F921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5E0D5"/>
  <w15:docId w15:val="{D79D2832-7FD9-4869-BD06-159B51DF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eastAsia="en-US"/>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a4">
    <w:name w:val="Hyperlink"/>
    <w:rPr>
      <w:u w:val="single"/>
    </w:rPr>
  </w:style>
  <w:style w:type="table" w:customStyle="1" w:styleId="TableNormal2">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BodyA">
    <w:name w:val="Body A"/>
    <w:rPr>
      <w:rFonts w:eastAsia="Arial Unicode MS" w:cs="Arial Unicode MS"/>
      <w:color w:val="000000"/>
      <w:u w:color="000000"/>
      <w:lang w:val="de-DE"/>
      <w14:textOutline w14:w="12700" w14:cap="flat" w14:cmpd="sng" w14:algn="ctr">
        <w14:noFill/>
        <w14:prstDash w14:val="solid"/>
        <w14:miter w14:lim="400000"/>
      </w14:textOutline>
    </w:rPr>
  </w:style>
  <w:style w:type="paragraph" w:customStyle="1" w:styleId="Default">
    <w:name w:val="Default"/>
    <w:pPr>
      <w:spacing w:before="160"/>
    </w:pPr>
    <w:rPr>
      <w:rFonts w:ascii="Helvetica Neue" w:eastAsia="Helvetica Neue" w:hAnsi="Helvetica Neue" w:cs="Helvetica Neue"/>
      <w:color w:val="000000"/>
      <w:u w:color="000000"/>
      <w14:textOutline w14:w="12700" w14:cap="flat" w14:cmpd="sng" w14:algn="ctr">
        <w14:noFill/>
        <w14:prstDash w14:val="solid"/>
        <w14:miter w14:lim="400000"/>
      </w14:textOutline>
    </w:rPr>
  </w:style>
  <w:style w:type="numbering" w:customStyle="1" w:styleId="ImportedStyle1">
    <w:name w:val="Imported Style 1"/>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table" w:customStyle="1" w:styleId="a9">
    <w:basedOn w:val="TableNormal1"/>
    <w:tblPr>
      <w:tblStyleRowBandSize w:val="1"/>
      <w:tblStyleColBandSize w:val="1"/>
      <w:tblCellMar>
        <w:left w:w="115" w:type="dxa"/>
        <w:right w:w="115" w:type="dxa"/>
      </w:tblCellMar>
    </w:tblPr>
  </w:style>
  <w:style w:type="table" w:customStyle="1" w:styleId="aa">
    <w:basedOn w:val="TableNormal1"/>
    <w:tblPr>
      <w:tblStyleRowBandSize w:val="1"/>
      <w:tblStyleColBandSize w:val="1"/>
      <w:tblCellMar>
        <w:left w:w="115" w:type="dxa"/>
        <w:right w:w="115"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ac">
    <w:basedOn w:val="TableNormal1"/>
    <w:tblPr>
      <w:tblStyleRowBandSize w:val="1"/>
      <w:tblStyleColBandSize w:val="1"/>
      <w:tblCellMar>
        <w:left w:w="115" w:type="dxa"/>
        <w:right w:w="115" w:type="dxa"/>
      </w:tblCellMar>
    </w:tblPr>
  </w:style>
  <w:style w:type="table" w:customStyle="1" w:styleId="ad">
    <w:basedOn w:val="TableNormal1"/>
    <w:tblPr>
      <w:tblStyleRowBandSize w:val="1"/>
      <w:tblStyleColBandSize w:val="1"/>
      <w:tblCellMar>
        <w:left w:w="115" w:type="dxa"/>
        <w:right w:w="115"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 w:type="table" w:customStyle="1" w:styleId="af1">
    <w:basedOn w:val="TableNormal1"/>
    <w:tblPr>
      <w:tblStyleRowBandSize w:val="1"/>
      <w:tblStyleColBandSize w:val="1"/>
      <w:tblCellMar>
        <w:left w:w="115" w:type="dxa"/>
        <w:right w:w="115" w:type="dxa"/>
      </w:tblCellMar>
    </w:tblPr>
  </w:style>
  <w:style w:type="table" w:customStyle="1" w:styleId="af2">
    <w:basedOn w:val="TableNormal1"/>
    <w:tblPr>
      <w:tblStyleRowBandSize w:val="1"/>
      <w:tblStyleColBandSize w:val="1"/>
      <w:tblCellMar>
        <w:left w:w="115" w:type="dxa"/>
        <w:right w:w="115" w:type="dxa"/>
      </w:tblCellMar>
    </w:tblPr>
  </w:style>
  <w:style w:type="table" w:customStyle="1" w:styleId="af3">
    <w:basedOn w:val="TableNormal1"/>
    <w:tblPr>
      <w:tblStyleRowBandSize w:val="1"/>
      <w:tblStyleColBandSize w:val="1"/>
      <w:tblCellMar>
        <w:left w:w="115" w:type="dxa"/>
        <w:right w:w="115" w:type="dxa"/>
      </w:tblCellMar>
    </w:tblPr>
  </w:style>
  <w:style w:type="table" w:customStyle="1" w:styleId="af4">
    <w:basedOn w:val="TableNormal1"/>
    <w:tblPr>
      <w:tblStyleRowBandSize w:val="1"/>
      <w:tblStyleColBandSize w:val="1"/>
      <w:tblCellMar>
        <w:left w:w="115" w:type="dxa"/>
        <w:right w:w="115" w:type="dxa"/>
      </w:tblCellMar>
    </w:tblPr>
  </w:style>
  <w:style w:type="table" w:customStyle="1" w:styleId="af5">
    <w:basedOn w:val="TableNormal1"/>
    <w:tblPr>
      <w:tblStyleRowBandSize w:val="1"/>
      <w:tblStyleColBandSize w:val="1"/>
      <w:tblCellMar>
        <w:left w:w="115" w:type="dxa"/>
        <w:right w:w="115" w:type="dxa"/>
      </w:tblCellMar>
    </w:tblPr>
  </w:style>
  <w:style w:type="table" w:customStyle="1" w:styleId="af6">
    <w:basedOn w:val="TableNormal1"/>
    <w:tblPr>
      <w:tblStyleRowBandSize w:val="1"/>
      <w:tblStyleColBandSize w:val="1"/>
      <w:tblCellMar>
        <w:left w:w="115" w:type="dxa"/>
        <w:right w:w="115" w:type="dxa"/>
      </w:tblCellMar>
    </w:tblPr>
  </w:style>
  <w:style w:type="table" w:customStyle="1" w:styleId="af7">
    <w:basedOn w:val="TableNormal1"/>
    <w:tblPr>
      <w:tblStyleRowBandSize w:val="1"/>
      <w:tblStyleColBandSize w:val="1"/>
      <w:tblCellMar>
        <w:left w:w="115" w:type="dxa"/>
        <w:right w:w="115" w:type="dxa"/>
      </w:tblCellMar>
    </w:tblPr>
  </w:style>
  <w:style w:type="table" w:customStyle="1" w:styleId="af8">
    <w:basedOn w:val="TableNormal1"/>
    <w:tblPr>
      <w:tblStyleRowBandSize w:val="1"/>
      <w:tblStyleColBandSize w:val="1"/>
      <w:tblCellMar>
        <w:left w:w="115" w:type="dxa"/>
        <w:right w:w="115" w:type="dxa"/>
      </w:tblCellMar>
    </w:tblPr>
  </w:style>
  <w:style w:type="table" w:customStyle="1" w:styleId="af9">
    <w:basedOn w:val="TableNormal1"/>
    <w:tblPr>
      <w:tblStyleRowBandSize w:val="1"/>
      <w:tblStyleColBandSize w:val="1"/>
      <w:tblCellMar>
        <w:left w:w="115" w:type="dxa"/>
        <w:right w:w="115" w:type="dxa"/>
      </w:tblCellMar>
    </w:tblPr>
  </w:style>
  <w:style w:type="table" w:customStyle="1" w:styleId="afa">
    <w:basedOn w:val="TableNormal1"/>
    <w:tblPr>
      <w:tblStyleRowBandSize w:val="1"/>
      <w:tblStyleColBandSize w:val="1"/>
      <w:tblCellMar>
        <w:left w:w="115" w:type="dxa"/>
        <w:right w:w="115" w:type="dxa"/>
      </w:tblCellMar>
    </w:tblPr>
  </w:style>
  <w:style w:type="table" w:customStyle="1" w:styleId="afb">
    <w:basedOn w:val="TableNormal1"/>
    <w:tblPr>
      <w:tblStyleRowBandSize w:val="1"/>
      <w:tblStyleColBandSize w:val="1"/>
      <w:tblCellMar>
        <w:left w:w="115" w:type="dxa"/>
        <w:right w:w="115" w:type="dxa"/>
      </w:tblCellMar>
    </w:tblPr>
  </w:style>
  <w:style w:type="table" w:customStyle="1" w:styleId="afc">
    <w:basedOn w:val="TableNormal1"/>
    <w:tblPr>
      <w:tblStyleRowBandSize w:val="1"/>
      <w:tblStyleColBandSize w:val="1"/>
      <w:tblCellMar>
        <w:left w:w="115" w:type="dxa"/>
        <w:right w:w="115" w:type="dxa"/>
      </w:tblCellMar>
    </w:tblPr>
  </w:style>
  <w:style w:type="table" w:customStyle="1" w:styleId="afd">
    <w:basedOn w:val="TableNormal1"/>
    <w:tblPr>
      <w:tblStyleRowBandSize w:val="1"/>
      <w:tblStyleColBandSize w:val="1"/>
      <w:tblCellMar>
        <w:left w:w="115" w:type="dxa"/>
        <w:right w:w="115" w:type="dxa"/>
      </w:tblCellMar>
    </w:tblPr>
  </w:style>
  <w:style w:type="table" w:customStyle="1" w:styleId="afe">
    <w:basedOn w:val="TableNormal1"/>
    <w:tblPr>
      <w:tblStyleRowBandSize w:val="1"/>
      <w:tblStyleColBandSize w:val="1"/>
      <w:tblCellMar>
        <w:left w:w="115" w:type="dxa"/>
        <w:right w:w="115" w:type="dxa"/>
      </w:tblCellMar>
    </w:tblPr>
  </w:style>
  <w:style w:type="table" w:customStyle="1" w:styleId="aff">
    <w:basedOn w:val="TableNormal1"/>
    <w:tblPr>
      <w:tblStyleRowBandSize w:val="1"/>
      <w:tblStyleColBandSize w:val="1"/>
      <w:tblCellMar>
        <w:left w:w="115" w:type="dxa"/>
        <w:right w:w="115" w:type="dxa"/>
      </w:tblCellMar>
    </w:tblPr>
  </w:style>
  <w:style w:type="table" w:customStyle="1" w:styleId="aff0">
    <w:basedOn w:val="TableNormal1"/>
    <w:tblPr>
      <w:tblStyleRowBandSize w:val="1"/>
      <w:tblStyleColBandSize w:val="1"/>
      <w:tblCellMar>
        <w:left w:w="115" w:type="dxa"/>
        <w:right w:w="115" w:type="dxa"/>
      </w:tblCellMar>
    </w:tblPr>
  </w:style>
  <w:style w:type="table" w:customStyle="1" w:styleId="aff1">
    <w:basedOn w:val="TableNormal1"/>
    <w:tblPr>
      <w:tblStyleRowBandSize w:val="1"/>
      <w:tblStyleColBandSize w:val="1"/>
      <w:tblCellMar>
        <w:left w:w="115" w:type="dxa"/>
        <w:right w:w="115" w:type="dxa"/>
      </w:tblCellMar>
    </w:tblPr>
  </w:style>
  <w:style w:type="table" w:customStyle="1" w:styleId="aff2">
    <w:basedOn w:val="TableNormal1"/>
    <w:tblPr>
      <w:tblStyleRowBandSize w:val="1"/>
      <w:tblStyleColBandSize w:val="1"/>
      <w:tblCellMar>
        <w:left w:w="115" w:type="dxa"/>
        <w:right w:w="115" w:type="dxa"/>
      </w:tblCellMar>
    </w:tblPr>
  </w:style>
  <w:style w:type="table" w:customStyle="1" w:styleId="aff3">
    <w:basedOn w:val="TableNormal1"/>
    <w:tblPr>
      <w:tblStyleRowBandSize w:val="1"/>
      <w:tblStyleColBandSize w:val="1"/>
      <w:tblCellMar>
        <w:left w:w="115" w:type="dxa"/>
        <w:right w:w="115" w:type="dxa"/>
      </w:tblCellMar>
    </w:tblPr>
  </w:style>
  <w:style w:type="table" w:customStyle="1" w:styleId="aff4">
    <w:basedOn w:val="TableNormal1"/>
    <w:tblPr>
      <w:tblStyleRowBandSize w:val="1"/>
      <w:tblStyleColBandSize w:val="1"/>
      <w:tblCellMar>
        <w:left w:w="115" w:type="dxa"/>
        <w:right w:w="115" w:type="dxa"/>
      </w:tblCellMar>
    </w:tblPr>
  </w:style>
  <w:style w:type="table" w:customStyle="1" w:styleId="aff5">
    <w:basedOn w:val="TableNormal1"/>
    <w:tblPr>
      <w:tblStyleRowBandSize w:val="1"/>
      <w:tblStyleColBandSize w:val="1"/>
      <w:tblCellMar>
        <w:left w:w="115" w:type="dxa"/>
        <w:right w:w="115" w:type="dxa"/>
      </w:tblCellMar>
    </w:tblPr>
  </w:style>
  <w:style w:type="table" w:customStyle="1" w:styleId="aff6">
    <w:basedOn w:val="TableNormal1"/>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table" w:customStyle="1" w:styleId="affb">
    <w:basedOn w:val="TableNormal1"/>
    <w:tblPr>
      <w:tblStyleRowBandSize w:val="1"/>
      <w:tblStyleColBandSize w:val="1"/>
      <w:tblCellMar>
        <w:left w:w="115" w:type="dxa"/>
        <w:right w:w="115" w:type="dxa"/>
      </w:tblCellMar>
    </w:tblPr>
  </w:style>
  <w:style w:type="table" w:customStyle="1" w:styleId="affc">
    <w:basedOn w:val="TableNormal1"/>
    <w:tblPr>
      <w:tblStyleRowBandSize w:val="1"/>
      <w:tblStyleColBandSize w:val="1"/>
      <w:tblCellMar>
        <w:left w:w="115" w:type="dxa"/>
        <w:right w:w="115" w:type="dxa"/>
      </w:tblCellMar>
    </w:tblPr>
  </w:style>
  <w:style w:type="table" w:customStyle="1" w:styleId="affd">
    <w:basedOn w:val="TableNormal1"/>
    <w:tblPr>
      <w:tblStyleRowBandSize w:val="1"/>
      <w:tblStyleColBandSize w:val="1"/>
      <w:tblCellMar>
        <w:left w:w="115" w:type="dxa"/>
        <w:right w:w="115" w:type="dxa"/>
      </w:tblCellMar>
    </w:tblPr>
  </w:style>
  <w:style w:type="table" w:customStyle="1" w:styleId="affe">
    <w:basedOn w:val="TableNormal1"/>
    <w:tblPr>
      <w:tblStyleRowBandSize w:val="1"/>
      <w:tblStyleColBandSize w:val="1"/>
      <w:tblCellMar>
        <w:left w:w="115" w:type="dxa"/>
        <w:right w:w="115" w:type="dxa"/>
      </w:tblCellMar>
    </w:tblPr>
  </w:style>
  <w:style w:type="table" w:customStyle="1" w:styleId="afff">
    <w:basedOn w:val="TableNormal1"/>
    <w:tblPr>
      <w:tblStyleRowBandSize w:val="1"/>
      <w:tblStyleColBandSize w:val="1"/>
      <w:tblCellMar>
        <w:left w:w="115" w:type="dxa"/>
        <w:right w:w="115" w:type="dxa"/>
      </w:tblCellMar>
    </w:tblPr>
  </w:style>
  <w:style w:type="table" w:customStyle="1" w:styleId="afff0">
    <w:basedOn w:val="TableNormal1"/>
    <w:tblPr>
      <w:tblStyleRowBandSize w:val="1"/>
      <w:tblStyleColBandSize w:val="1"/>
      <w:tblCellMar>
        <w:left w:w="115" w:type="dxa"/>
        <w:right w:w="115" w:type="dxa"/>
      </w:tblCellMar>
    </w:tblPr>
  </w:style>
  <w:style w:type="table" w:customStyle="1" w:styleId="afff1">
    <w:basedOn w:val="TableNormal1"/>
    <w:tblPr>
      <w:tblStyleRowBandSize w:val="1"/>
      <w:tblStyleColBandSize w:val="1"/>
      <w:tblCellMar>
        <w:left w:w="115" w:type="dxa"/>
        <w:right w:w="115" w:type="dxa"/>
      </w:tblCellMar>
    </w:tblPr>
  </w:style>
  <w:style w:type="table" w:customStyle="1" w:styleId="afff2">
    <w:basedOn w:val="TableNormal1"/>
    <w:tblPr>
      <w:tblStyleRowBandSize w:val="1"/>
      <w:tblStyleColBandSize w:val="1"/>
      <w:tblCellMar>
        <w:left w:w="115" w:type="dxa"/>
        <w:right w:w="115" w:type="dxa"/>
      </w:tblCellMar>
    </w:tblPr>
  </w:style>
  <w:style w:type="table" w:customStyle="1" w:styleId="afff3">
    <w:basedOn w:val="TableNormal1"/>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tblPr>
      <w:tblStyleRowBandSize w:val="1"/>
      <w:tblStyleColBandSize w:val="1"/>
      <w:tblCellMar>
        <w:left w:w="115" w:type="dxa"/>
        <w:right w:w="115" w:type="dxa"/>
      </w:tblCellMar>
    </w:tblPr>
  </w:style>
  <w:style w:type="table" w:customStyle="1" w:styleId="afff6">
    <w:basedOn w:val="TableNormal1"/>
    <w:tblPr>
      <w:tblStyleRowBandSize w:val="1"/>
      <w:tblStyleColBandSize w:val="1"/>
      <w:tblCellMar>
        <w:left w:w="115" w:type="dxa"/>
        <w:right w:w="115" w:type="dxa"/>
      </w:tblCellMar>
    </w:tblPr>
  </w:style>
  <w:style w:type="table" w:customStyle="1" w:styleId="afff7">
    <w:basedOn w:val="TableNormal1"/>
    <w:tblPr>
      <w:tblStyleRowBandSize w:val="1"/>
      <w:tblStyleColBandSize w:val="1"/>
      <w:tblCellMar>
        <w:left w:w="115" w:type="dxa"/>
        <w:right w:w="115" w:type="dxa"/>
      </w:tblCellMar>
    </w:tblPr>
  </w:style>
  <w:style w:type="table" w:customStyle="1" w:styleId="afff8">
    <w:basedOn w:val="TableNormal1"/>
    <w:tblPr>
      <w:tblStyleRowBandSize w:val="1"/>
      <w:tblStyleColBandSize w:val="1"/>
      <w:tblCellMar>
        <w:left w:w="115" w:type="dxa"/>
        <w:right w:w="115" w:type="dxa"/>
      </w:tblCellMar>
    </w:tblPr>
  </w:style>
  <w:style w:type="table" w:customStyle="1" w:styleId="afff9">
    <w:basedOn w:val="TableNormal1"/>
    <w:tblPr>
      <w:tblStyleRowBandSize w:val="1"/>
      <w:tblStyleColBandSize w:val="1"/>
      <w:tblCellMar>
        <w:left w:w="115" w:type="dxa"/>
        <w:right w:w="115" w:type="dxa"/>
      </w:tblCellMar>
    </w:tblPr>
  </w:style>
  <w:style w:type="table" w:customStyle="1" w:styleId="afffa">
    <w:basedOn w:val="TableNormal1"/>
    <w:tblPr>
      <w:tblStyleRowBandSize w:val="1"/>
      <w:tblStyleColBandSize w:val="1"/>
      <w:tblCellMar>
        <w:left w:w="115" w:type="dxa"/>
        <w:right w:w="115" w:type="dxa"/>
      </w:tblCellMar>
    </w:tblPr>
  </w:style>
  <w:style w:type="table" w:customStyle="1" w:styleId="afffb">
    <w:basedOn w:val="TableNormal1"/>
    <w:tblPr>
      <w:tblStyleRowBandSize w:val="1"/>
      <w:tblStyleColBandSize w:val="1"/>
      <w:tblCellMar>
        <w:left w:w="115" w:type="dxa"/>
        <w:right w:w="115" w:type="dxa"/>
      </w:tblCellMar>
    </w:tblPr>
  </w:style>
  <w:style w:type="table" w:customStyle="1" w:styleId="afffc">
    <w:basedOn w:val="TableNormal1"/>
    <w:tblPr>
      <w:tblStyleRowBandSize w:val="1"/>
      <w:tblStyleColBandSize w:val="1"/>
      <w:tblCellMar>
        <w:left w:w="115" w:type="dxa"/>
        <w:right w:w="115" w:type="dxa"/>
      </w:tblCellMar>
    </w:tblPr>
  </w:style>
  <w:style w:type="table" w:customStyle="1" w:styleId="afffd">
    <w:basedOn w:val="TableNormal1"/>
    <w:tblPr>
      <w:tblStyleRowBandSize w:val="1"/>
      <w:tblStyleColBandSize w:val="1"/>
      <w:tblCellMar>
        <w:left w:w="115" w:type="dxa"/>
        <w:right w:w="115" w:type="dxa"/>
      </w:tblCellMar>
    </w:tblPr>
  </w:style>
  <w:style w:type="table" w:customStyle="1" w:styleId="afffe">
    <w:basedOn w:val="TableNormal1"/>
    <w:tblPr>
      <w:tblStyleRowBandSize w:val="1"/>
      <w:tblStyleColBandSize w:val="1"/>
      <w:tblCellMar>
        <w:left w:w="115" w:type="dxa"/>
        <w:right w:w="115" w:type="dxa"/>
      </w:tblCellMar>
    </w:tblPr>
  </w:style>
  <w:style w:type="table" w:customStyle="1" w:styleId="affff">
    <w:basedOn w:val="TableNormal1"/>
    <w:tblPr>
      <w:tblStyleRowBandSize w:val="1"/>
      <w:tblStyleColBandSize w:val="1"/>
      <w:tblCellMar>
        <w:left w:w="115" w:type="dxa"/>
        <w:right w:w="115" w:type="dxa"/>
      </w:tblCellMar>
    </w:tblPr>
  </w:style>
  <w:style w:type="table" w:customStyle="1" w:styleId="affff0">
    <w:basedOn w:val="TableNormal1"/>
    <w:tblPr>
      <w:tblStyleRowBandSize w:val="1"/>
      <w:tblStyleColBandSize w:val="1"/>
      <w:tblCellMar>
        <w:left w:w="115" w:type="dxa"/>
        <w:right w:w="115" w:type="dxa"/>
      </w:tblCellMar>
    </w:tblPr>
  </w:style>
  <w:style w:type="table" w:customStyle="1" w:styleId="affff1">
    <w:basedOn w:val="TableNormal1"/>
    <w:tblPr>
      <w:tblStyleRowBandSize w:val="1"/>
      <w:tblStyleColBandSize w:val="1"/>
      <w:tblCellMar>
        <w:left w:w="115" w:type="dxa"/>
        <w:right w:w="115" w:type="dxa"/>
      </w:tblCellMar>
    </w:tblPr>
  </w:style>
  <w:style w:type="table" w:customStyle="1" w:styleId="affff2">
    <w:basedOn w:val="TableNormal1"/>
    <w:tblPr>
      <w:tblStyleRowBandSize w:val="1"/>
      <w:tblStyleColBandSize w:val="1"/>
      <w:tblCellMar>
        <w:left w:w="115" w:type="dxa"/>
        <w:right w:w="115" w:type="dxa"/>
      </w:tblCellMar>
    </w:tblPr>
  </w:style>
  <w:style w:type="table" w:customStyle="1" w:styleId="affff3">
    <w:basedOn w:val="TableNormal1"/>
    <w:tblPr>
      <w:tblStyleRowBandSize w:val="1"/>
      <w:tblStyleColBandSize w:val="1"/>
      <w:tblCellMar>
        <w:left w:w="115" w:type="dxa"/>
        <w:right w:w="115" w:type="dxa"/>
      </w:tblCellMar>
    </w:tblPr>
  </w:style>
  <w:style w:type="table" w:customStyle="1" w:styleId="affff4">
    <w:basedOn w:val="TableNormal1"/>
    <w:tblPr>
      <w:tblStyleRowBandSize w:val="1"/>
      <w:tblStyleColBandSize w:val="1"/>
      <w:tblCellMar>
        <w:left w:w="115" w:type="dxa"/>
        <w:right w:w="115" w:type="dxa"/>
      </w:tblCellMar>
    </w:tblPr>
  </w:style>
  <w:style w:type="table" w:customStyle="1" w:styleId="affff5">
    <w:basedOn w:val="TableNormal1"/>
    <w:tblPr>
      <w:tblStyleRowBandSize w:val="1"/>
      <w:tblStyleColBandSize w:val="1"/>
      <w:tblCellMar>
        <w:left w:w="115" w:type="dxa"/>
        <w:right w:w="115" w:type="dxa"/>
      </w:tblCellMar>
    </w:tblPr>
  </w:style>
  <w:style w:type="table" w:customStyle="1" w:styleId="affff6">
    <w:basedOn w:val="TableNormal1"/>
    <w:tblPr>
      <w:tblStyleRowBandSize w:val="1"/>
      <w:tblStyleColBandSize w:val="1"/>
      <w:tblCellMar>
        <w:left w:w="115" w:type="dxa"/>
        <w:right w:w="115" w:type="dxa"/>
      </w:tblCellMar>
    </w:tblPr>
  </w:style>
  <w:style w:type="table" w:customStyle="1" w:styleId="affff7">
    <w:basedOn w:val="TableNormal1"/>
    <w:tblPr>
      <w:tblStyleRowBandSize w:val="1"/>
      <w:tblStyleColBandSize w:val="1"/>
      <w:tblCellMar>
        <w:left w:w="115" w:type="dxa"/>
        <w:right w:w="115" w:type="dxa"/>
      </w:tblCellMar>
    </w:tblPr>
  </w:style>
  <w:style w:type="table" w:customStyle="1" w:styleId="affff8">
    <w:basedOn w:val="TableNormal1"/>
    <w:tblPr>
      <w:tblStyleRowBandSize w:val="1"/>
      <w:tblStyleColBandSize w:val="1"/>
      <w:tblCellMar>
        <w:left w:w="115" w:type="dxa"/>
        <w:right w:w="115" w:type="dxa"/>
      </w:tblCellMar>
    </w:tblPr>
  </w:style>
  <w:style w:type="table" w:customStyle="1" w:styleId="affff9">
    <w:basedOn w:val="TableNormal1"/>
    <w:tblPr>
      <w:tblStyleRowBandSize w:val="1"/>
      <w:tblStyleColBandSize w:val="1"/>
      <w:tblCellMar>
        <w:left w:w="115" w:type="dxa"/>
        <w:right w:w="115" w:type="dxa"/>
      </w:tblCellMar>
    </w:tblPr>
  </w:style>
  <w:style w:type="table" w:customStyle="1" w:styleId="affffa">
    <w:basedOn w:val="TableNormal1"/>
    <w:tblPr>
      <w:tblStyleRowBandSize w:val="1"/>
      <w:tblStyleColBandSize w:val="1"/>
      <w:tblCellMar>
        <w:left w:w="115" w:type="dxa"/>
        <w:right w:w="115" w:type="dxa"/>
      </w:tblCellMar>
    </w:tblPr>
  </w:style>
  <w:style w:type="table" w:customStyle="1" w:styleId="affffb">
    <w:basedOn w:val="TableNormal1"/>
    <w:tblPr>
      <w:tblStyleRowBandSize w:val="1"/>
      <w:tblStyleColBandSize w:val="1"/>
      <w:tblCellMar>
        <w:left w:w="115" w:type="dxa"/>
        <w:right w:w="115" w:type="dxa"/>
      </w:tblCellMar>
    </w:tblPr>
  </w:style>
  <w:style w:type="table" w:customStyle="1" w:styleId="affffc">
    <w:basedOn w:val="TableNormal1"/>
    <w:tblPr>
      <w:tblStyleRowBandSize w:val="1"/>
      <w:tblStyleColBandSize w:val="1"/>
      <w:tblCellMar>
        <w:left w:w="115" w:type="dxa"/>
        <w:right w:w="115" w:type="dxa"/>
      </w:tblCellMar>
    </w:tblPr>
  </w:style>
  <w:style w:type="table" w:customStyle="1" w:styleId="affffd">
    <w:basedOn w:val="TableNormal1"/>
    <w:tblPr>
      <w:tblStyleRowBandSize w:val="1"/>
      <w:tblStyleColBandSize w:val="1"/>
      <w:tblCellMar>
        <w:left w:w="115" w:type="dxa"/>
        <w:right w:w="115" w:type="dxa"/>
      </w:tblCellMar>
    </w:tblPr>
  </w:style>
  <w:style w:type="table" w:customStyle="1" w:styleId="affffe">
    <w:basedOn w:val="TableNormal1"/>
    <w:tblPr>
      <w:tblStyleRowBandSize w:val="1"/>
      <w:tblStyleColBandSize w:val="1"/>
      <w:tblCellMar>
        <w:left w:w="115" w:type="dxa"/>
        <w:right w:w="115" w:type="dxa"/>
      </w:tblCellMar>
    </w:tblPr>
  </w:style>
  <w:style w:type="table" w:customStyle="1" w:styleId="afffff">
    <w:basedOn w:val="TableNormal1"/>
    <w:tblPr>
      <w:tblStyleRowBandSize w:val="1"/>
      <w:tblStyleColBandSize w:val="1"/>
      <w:tblCellMar>
        <w:left w:w="115" w:type="dxa"/>
        <w:right w:w="115" w:type="dxa"/>
      </w:tblCellMar>
    </w:tblPr>
  </w:style>
  <w:style w:type="table" w:customStyle="1" w:styleId="afffff0">
    <w:basedOn w:val="TableNormal1"/>
    <w:tblPr>
      <w:tblStyleRowBandSize w:val="1"/>
      <w:tblStyleColBandSize w:val="1"/>
      <w:tblCellMar>
        <w:left w:w="115" w:type="dxa"/>
        <w:right w:w="115" w:type="dxa"/>
      </w:tblCellMar>
    </w:tblPr>
  </w:style>
  <w:style w:type="table" w:customStyle="1" w:styleId="afffff1">
    <w:basedOn w:val="TableNormal1"/>
    <w:tblPr>
      <w:tblStyleRowBandSize w:val="1"/>
      <w:tblStyleColBandSize w:val="1"/>
      <w:tblCellMar>
        <w:left w:w="115" w:type="dxa"/>
        <w:right w:w="115" w:type="dxa"/>
      </w:tblCellMar>
    </w:tblPr>
  </w:style>
  <w:style w:type="table" w:customStyle="1" w:styleId="afffff2">
    <w:basedOn w:val="TableNormal1"/>
    <w:tblPr>
      <w:tblStyleRowBandSize w:val="1"/>
      <w:tblStyleColBandSize w:val="1"/>
      <w:tblCellMar>
        <w:left w:w="115" w:type="dxa"/>
        <w:right w:w="115" w:type="dxa"/>
      </w:tblCellMar>
    </w:tblPr>
  </w:style>
  <w:style w:type="table" w:customStyle="1" w:styleId="afffff3">
    <w:basedOn w:val="TableNormal1"/>
    <w:tblPr>
      <w:tblStyleRowBandSize w:val="1"/>
      <w:tblStyleColBandSize w:val="1"/>
      <w:tblCellMar>
        <w:left w:w="115" w:type="dxa"/>
        <w:right w:w="115" w:type="dxa"/>
      </w:tblCellMar>
    </w:tblPr>
  </w:style>
  <w:style w:type="table" w:customStyle="1" w:styleId="afffff4">
    <w:basedOn w:val="TableNormal1"/>
    <w:tblPr>
      <w:tblStyleRowBandSize w:val="1"/>
      <w:tblStyleColBandSize w:val="1"/>
      <w:tblCellMar>
        <w:left w:w="115" w:type="dxa"/>
        <w:right w:w="115" w:type="dxa"/>
      </w:tblCellMar>
    </w:tblPr>
  </w:style>
  <w:style w:type="table" w:customStyle="1" w:styleId="afffff5">
    <w:basedOn w:val="TableNormal1"/>
    <w:tblPr>
      <w:tblStyleRowBandSize w:val="1"/>
      <w:tblStyleColBandSize w:val="1"/>
      <w:tblCellMar>
        <w:left w:w="115" w:type="dxa"/>
        <w:right w:w="115" w:type="dxa"/>
      </w:tblCellMar>
    </w:tblPr>
  </w:style>
  <w:style w:type="table" w:customStyle="1" w:styleId="afffff6">
    <w:basedOn w:val="TableNormal1"/>
    <w:tblPr>
      <w:tblStyleRowBandSize w:val="1"/>
      <w:tblStyleColBandSize w:val="1"/>
      <w:tblCellMar>
        <w:left w:w="115" w:type="dxa"/>
        <w:right w:w="115" w:type="dxa"/>
      </w:tblCellMar>
    </w:tblPr>
  </w:style>
  <w:style w:type="table" w:customStyle="1" w:styleId="afffff7">
    <w:basedOn w:val="TableNormal1"/>
    <w:tblPr>
      <w:tblStyleRowBandSize w:val="1"/>
      <w:tblStyleColBandSize w:val="1"/>
      <w:tblCellMar>
        <w:left w:w="115" w:type="dxa"/>
        <w:right w:w="115" w:type="dxa"/>
      </w:tblCellMar>
    </w:tblPr>
  </w:style>
  <w:style w:type="table" w:customStyle="1" w:styleId="afffff8">
    <w:basedOn w:val="TableNormal1"/>
    <w:tblPr>
      <w:tblStyleRowBandSize w:val="1"/>
      <w:tblStyleColBandSize w:val="1"/>
      <w:tblCellMar>
        <w:left w:w="115" w:type="dxa"/>
        <w:right w:w="115" w:type="dxa"/>
      </w:tblCellMar>
    </w:tblPr>
  </w:style>
  <w:style w:type="table" w:customStyle="1" w:styleId="afffff9">
    <w:basedOn w:val="TableNormal1"/>
    <w:tblPr>
      <w:tblStyleRowBandSize w:val="1"/>
      <w:tblStyleColBandSize w:val="1"/>
      <w:tblCellMar>
        <w:left w:w="115" w:type="dxa"/>
        <w:right w:w="115" w:type="dxa"/>
      </w:tblCellMar>
    </w:tblPr>
  </w:style>
  <w:style w:type="table" w:customStyle="1" w:styleId="afffffa">
    <w:basedOn w:val="TableNormal1"/>
    <w:tblPr>
      <w:tblStyleRowBandSize w:val="1"/>
      <w:tblStyleColBandSize w:val="1"/>
      <w:tblCellMar>
        <w:left w:w="115" w:type="dxa"/>
        <w:right w:w="115" w:type="dxa"/>
      </w:tblCellMar>
    </w:tblPr>
  </w:style>
  <w:style w:type="table" w:customStyle="1" w:styleId="afffffb">
    <w:basedOn w:val="TableNormal1"/>
    <w:tblPr>
      <w:tblStyleRowBandSize w:val="1"/>
      <w:tblStyleColBandSize w:val="1"/>
      <w:tblCellMar>
        <w:left w:w="115" w:type="dxa"/>
        <w:right w:w="115" w:type="dxa"/>
      </w:tblCellMar>
    </w:tblPr>
  </w:style>
  <w:style w:type="table" w:customStyle="1" w:styleId="afffffc">
    <w:basedOn w:val="TableNormal1"/>
    <w:tblPr>
      <w:tblStyleRowBandSize w:val="1"/>
      <w:tblStyleColBandSize w:val="1"/>
      <w:tblCellMar>
        <w:left w:w="115" w:type="dxa"/>
        <w:right w:w="115" w:type="dxa"/>
      </w:tblCellMar>
    </w:tblPr>
  </w:style>
  <w:style w:type="character" w:styleId="afffffd">
    <w:name w:val="annotation reference"/>
    <w:basedOn w:val="a0"/>
    <w:uiPriority w:val="99"/>
    <w:semiHidden/>
    <w:unhideWhenUsed/>
    <w:rsid w:val="005E3319"/>
    <w:rPr>
      <w:sz w:val="18"/>
      <w:szCs w:val="18"/>
    </w:rPr>
  </w:style>
  <w:style w:type="paragraph" w:styleId="afffffe">
    <w:name w:val="annotation text"/>
    <w:basedOn w:val="a"/>
    <w:link w:val="affffff"/>
    <w:uiPriority w:val="99"/>
    <w:semiHidden/>
    <w:unhideWhenUsed/>
    <w:rsid w:val="005E3319"/>
  </w:style>
  <w:style w:type="character" w:customStyle="1" w:styleId="affffff">
    <w:name w:val="コメント文字列 (文字)"/>
    <w:basedOn w:val="a0"/>
    <w:link w:val="afffffe"/>
    <w:uiPriority w:val="99"/>
    <w:semiHidden/>
    <w:rsid w:val="005E3319"/>
    <w:rPr>
      <w:lang w:eastAsia="en-US"/>
    </w:rPr>
  </w:style>
  <w:style w:type="paragraph" w:styleId="affffff0">
    <w:name w:val="annotation subject"/>
    <w:basedOn w:val="afffffe"/>
    <w:next w:val="afffffe"/>
    <w:link w:val="affffff1"/>
    <w:uiPriority w:val="99"/>
    <w:semiHidden/>
    <w:unhideWhenUsed/>
    <w:rsid w:val="005E3319"/>
    <w:rPr>
      <w:b/>
      <w:bCs/>
    </w:rPr>
  </w:style>
  <w:style w:type="character" w:customStyle="1" w:styleId="affffff1">
    <w:name w:val="コメント内容 (文字)"/>
    <w:basedOn w:val="affffff"/>
    <w:link w:val="affffff0"/>
    <w:uiPriority w:val="99"/>
    <w:semiHidden/>
    <w:rsid w:val="005E3319"/>
    <w:rPr>
      <w:b/>
      <w:bCs/>
      <w:lang w:eastAsia="en-US"/>
    </w:rPr>
  </w:style>
  <w:style w:type="paragraph" w:styleId="affffff2">
    <w:name w:val="Revision"/>
    <w:hidden/>
    <w:uiPriority w:val="99"/>
    <w:semiHidden/>
    <w:rsid w:val="005C0374"/>
    <w:rPr>
      <w:lang w:eastAsia="en-US"/>
    </w:rPr>
  </w:style>
  <w:style w:type="paragraph" w:styleId="affffff3">
    <w:name w:val="Balloon Text"/>
    <w:basedOn w:val="a"/>
    <w:link w:val="affffff4"/>
    <w:uiPriority w:val="99"/>
    <w:semiHidden/>
    <w:unhideWhenUsed/>
    <w:rsid w:val="005C0374"/>
    <w:rPr>
      <w:rFonts w:asciiTheme="majorHAnsi" w:eastAsiaTheme="majorEastAsia" w:hAnsiTheme="majorHAnsi" w:cstheme="majorBidi"/>
      <w:sz w:val="18"/>
      <w:szCs w:val="18"/>
    </w:rPr>
  </w:style>
  <w:style w:type="character" w:customStyle="1" w:styleId="affffff4">
    <w:name w:val="吹き出し (文字)"/>
    <w:basedOn w:val="a0"/>
    <w:link w:val="affffff3"/>
    <w:uiPriority w:val="99"/>
    <w:semiHidden/>
    <w:rsid w:val="005C0374"/>
    <w:rPr>
      <w:rFonts w:asciiTheme="majorHAnsi" w:eastAsiaTheme="majorEastAsia" w:hAnsiTheme="majorHAnsi" w:cstheme="majorBidi"/>
      <w:sz w:val="18"/>
      <w:szCs w:val="18"/>
      <w:lang w:eastAsia="en-US"/>
    </w:rPr>
  </w:style>
  <w:style w:type="paragraph" w:styleId="affffff5">
    <w:name w:val="header"/>
    <w:basedOn w:val="a"/>
    <w:link w:val="affffff6"/>
    <w:uiPriority w:val="99"/>
    <w:unhideWhenUsed/>
    <w:rsid w:val="00F92154"/>
    <w:pPr>
      <w:tabs>
        <w:tab w:val="center" w:pos="4252"/>
        <w:tab w:val="right" w:pos="8504"/>
      </w:tabs>
      <w:snapToGrid w:val="0"/>
    </w:pPr>
  </w:style>
  <w:style w:type="character" w:customStyle="1" w:styleId="affffff6">
    <w:name w:val="ヘッダー (文字)"/>
    <w:basedOn w:val="a0"/>
    <w:link w:val="affffff5"/>
    <w:uiPriority w:val="99"/>
    <w:rsid w:val="00F92154"/>
    <w:rPr>
      <w:lang w:eastAsia="en-US"/>
    </w:rPr>
  </w:style>
  <w:style w:type="paragraph" w:styleId="affffff7">
    <w:name w:val="footer"/>
    <w:basedOn w:val="a"/>
    <w:link w:val="affffff8"/>
    <w:uiPriority w:val="99"/>
    <w:unhideWhenUsed/>
    <w:rsid w:val="00F92154"/>
    <w:pPr>
      <w:tabs>
        <w:tab w:val="center" w:pos="4252"/>
        <w:tab w:val="right" w:pos="8504"/>
      </w:tabs>
      <w:snapToGrid w:val="0"/>
    </w:pPr>
  </w:style>
  <w:style w:type="character" w:customStyle="1" w:styleId="affffff8">
    <w:name w:val="フッター (文字)"/>
    <w:basedOn w:val="a0"/>
    <w:link w:val="affffff7"/>
    <w:uiPriority w:val="99"/>
    <w:rsid w:val="00F9215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295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5LO1tPJl5huAprGTSZQ9W0Eszw==">AMUW2mU6+JXLOONEL0p5quCGjSENFM8o9NespiLOUWTDIEkrd0adKDgsk+aRbkxKCqliQeJZre6KbmAIp1t05gxskBsKadNqV5IS069v9YFCOS0kxJ3uswp84PhlbDo8y3Hh/dDwVzd0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419</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2022-11-08T11:23:00Z</dcterms:created>
  <dcterms:modified xsi:type="dcterms:W3CDTF">2022-11-08T11:23:00Z</dcterms:modified>
</cp:coreProperties>
</file>