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8EB1FC" w14:textId="77777777" w:rsidR="005B779D" w:rsidRDefault="005B779D" w:rsidP="005B779D">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7920"/>
        </w:tabs>
        <w:rPr>
          <w:color w:val="000000"/>
        </w:rPr>
      </w:pPr>
      <w:r>
        <w:rPr>
          <w:rFonts w:eastAsia="Times New Roman"/>
          <w:color w:val="000000"/>
        </w:rPr>
        <w:t>Brick Chimney</w:t>
      </w:r>
    </w:p>
    <w:p w14:paraId="794EEE94" w14:textId="77777777" w:rsidR="005B779D" w:rsidRDefault="005B779D" w:rsidP="005B779D">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7920"/>
        </w:tabs>
        <w:rPr>
          <w:color w:val="000000"/>
        </w:rPr>
      </w:pPr>
    </w:p>
    <w:p w14:paraId="6423A264" w14:textId="77777777" w:rsidR="005B779D" w:rsidRDefault="005B779D" w:rsidP="005B779D">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7920"/>
        </w:tabs>
        <w:rPr>
          <w:color w:val="000000"/>
        </w:rPr>
      </w:pPr>
      <w:r>
        <w:rPr>
          <w:rFonts w:eastAsia="Times New Roman"/>
          <w:color w:val="000000"/>
        </w:rPr>
        <w:t xml:space="preserve">Efforts to repair this rare brick chimney became an inspiration to the local community in the aftermath of the 2004 Great Chuetsu </w:t>
      </w:r>
      <w:r>
        <w:t>E</w:t>
      </w:r>
      <w:r>
        <w:rPr>
          <w:rFonts w:eastAsia="Times New Roman"/>
          <w:color w:val="000000"/>
        </w:rPr>
        <w:t>arthquake. The community was recovering from widespread damage, and here it sought to restore one of the last remaining regional examples of a chimney from the Meiji era (1868–1912).</w:t>
      </w:r>
    </w:p>
    <w:p w14:paraId="4619D5A2" w14:textId="77777777" w:rsidR="005B779D" w:rsidRDefault="005B779D" w:rsidP="005B779D">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7920"/>
        </w:tabs>
        <w:ind w:firstLine="288"/>
        <w:rPr>
          <w:color w:val="000000"/>
        </w:rPr>
      </w:pPr>
      <w:r>
        <w:rPr>
          <w:rFonts w:eastAsia="Times New Roman"/>
          <w:color w:val="000000"/>
          <w:highlight w:val="white"/>
        </w:rPr>
        <w:t xml:space="preserve">Koshi no Murasaki, </w:t>
      </w:r>
      <w:r>
        <w:rPr>
          <w:rFonts w:eastAsia="Times New Roman"/>
          <w:color w:val="000000"/>
        </w:rPr>
        <w:t>a soy sauce producer founded in 1831, built the chimney. The exact date of its construction is unknown. However, it predates the rest of the current structure, which was completed in 1933. During the late eighteenth and mid-nineteenth centuries, it was common for soy sauce makers to use such large-scale chimneys in conjunction with coal-fired furnaces as part of their production process. At the height of its use, this chimney would billow black smoke throughout the day, making it a familiar local landmark.</w:t>
      </w:r>
    </w:p>
    <w:p w14:paraId="682572A1" w14:textId="77777777" w:rsidR="005B779D" w:rsidRDefault="005B779D" w:rsidP="005B779D">
      <w:pPr>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7920"/>
        </w:tabs>
        <w:ind w:firstLine="288"/>
        <w:rPr>
          <w:rFonts w:ascii="Century" w:eastAsia="Century" w:hAnsi="Century" w:cs="Century"/>
          <w:color w:val="000000"/>
          <w:sz w:val="21"/>
          <w:szCs w:val="21"/>
        </w:rPr>
      </w:pPr>
      <w:r>
        <w:rPr>
          <w:rFonts w:eastAsia="Times New Roman"/>
          <w:color w:val="000000"/>
        </w:rPr>
        <w:t>Advancements in both the soy sauce production process and technology in general have rendered the use of coal unnecessary, so the chimney and its furnace are no longer in use. Today, it stands at approximately two-thirds its former height.</w:t>
      </w:r>
    </w:p>
    <w:p w14:paraId="0A30A9B2" w14:textId="77777777" w:rsidR="000E21EC" w:rsidRPr="005B779D" w:rsidRDefault="000E21EC" w:rsidP="005B779D"/>
    <w:sectPr w:rsidR="000E21EC" w:rsidRPr="005B779D">
      <w:headerReference w:type="default" r:id="rId8"/>
      <w:pgSz w:w="11900" w:h="16840"/>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3FE13E" w14:textId="77777777" w:rsidR="00563F1D" w:rsidRDefault="00563F1D">
      <w:r>
        <w:separator/>
      </w:r>
    </w:p>
  </w:endnote>
  <w:endnote w:type="continuationSeparator" w:id="0">
    <w:p w14:paraId="6E08ABEC" w14:textId="77777777" w:rsidR="00563F1D" w:rsidRDefault="00563F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elvetica Neue">
    <w:altName w:val="Arial"/>
    <w:charset w:val="00"/>
    <w:family w:val="auto"/>
    <w:pitch w:val="default"/>
  </w:font>
  <w:font w:name="Arial Unicode MS">
    <w:panose1 w:val="020B0604020202020204"/>
    <w:charset w:val="80"/>
    <w:family w:val="modern"/>
    <w:pitch w:val="variable"/>
    <w:sig w:usb0="F7FFAFFF" w:usb1="E9DFFFFF" w:usb2="0000003F" w:usb3="00000000" w:csb0="003F01FF" w:csb1="00000000"/>
  </w:font>
  <w:font w:name="Georgia">
    <w:altName w:val="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4458F5" w14:textId="77777777" w:rsidR="00563F1D" w:rsidRDefault="00563F1D">
      <w:r>
        <w:separator/>
      </w:r>
    </w:p>
  </w:footnote>
  <w:footnote w:type="continuationSeparator" w:id="0">
    <w:p w14:paraId="24642F5D" w14:textId="77777777" w:rsidR="00563F1D" w:rsidRDefault="00563F1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2E814" w14:textId="77777777" w:rsidR="005C0374" w:rsidRDefault="005C0374">
    <w:pPr>
      <w:pBdr>
        <w:top w:val="nil"/>
        <w:left w:val="nil"/>
        <w:bottom w:val="nil"/>
        <w:right w:val="nil"/>
        <w:between w:val="nil"/>
      </w:pBdr>
      <w:tabs>
        <w:tab w:val="right" w:pos="9020"/>
      </w:tabs>
      <w:rPr>
        <w:rFonts w:ascii="Helvetica Neue" w:eastAsia="Helvetica Neue" w:hAnsi="Helvetica Neue" w:cs="Helvetica Neue"/>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8875A0"/>
    <w:multiLevelType w:val="multilevel"/>
    <w:tmpl w:val="868A01B6"/>
    <w:lvl w:ilvl="0">
      <w:start w:val="1"/>
      <w:numFmt w:val="decimal"/>
      <w:lvlText w:val="%1)"/>
      <w:lvlJc w:val="left"/>
      <w:pPr>
        <w:ind w:left="480" w:hanging="72"/>
      </w:pPr>
      <w:rPr>
        <w:smallCaps w:val="0"/>
        <w:strike w:val="0"/>
        <w:shd w:val="clear" w:color="auto" w:fill="auto"/>
        <w:vertAlign w:val="baseline"/>
      </w:rPr>
    </w:lvl>
    <w:lvl w:ilvl="1">
      <w:start w:val="1"/>
      <w:numFmt w:val="decimal"/>
      <w:lvlText w:val="%2."/>
      <w:lvlJc w:val="left"/>
      <w:pPr>
        <w:ind w:left="720" w:hanging="192"/>
      </w:pPr>
      <w:rPr>
        <w:smallCaps w:val="0"/>
        <w:strike w:val="0"/>
        <w:shd w:val="clear" w:color="auto" w:fill="auto"/>
        <w:vertAlign w:val="baseline"/>
      </w:rPr>
    </w:lvl>
    <w:lvl w:ilvl="2">
      <w:start w:val="1"/>
      <w:numFmt w:val="decimal"/>
      <w:lvlText w:val="%2.%3."/>
      <w:lvlJc w:val="left"/>
      <w:pPr>
        <w:ind w:left="1269" w:firstLine="120"/>
      </w:pPr>
      <w:rPr>
        <w:smallCaps w:val="0"/>
        <w:strike w:val="0"/>
        <w:shd w:val="clear" w:color="auto" w:fill="auto"/>
        <w:vertAlign w:val="baseline"/>
      </w:rPr>
    </w:lvl>
    <w:lvl w:ilvl="3">
      <w:start w:val="1"/>
      <w:numFmt w:val="decimal"/>
      <w:lvlText w:val="%2.%3.%4."/>
      <w:lvlJc w:val="left"/>
      <w:pPr>
        <w:ind w:left="1400" w:firstLine="120"/>
      </w:pPr>
      <w:rPr>
        <w:smallCaps w:val="0"/>
        <w:strike w:val="0"/>
        <w:shd w:val="clear" w:color="auto" w:fill="auto"/>
        <w:vertAlign w:val="baseline"/>
      </w:rPr>
    </w:lvl>
    <w:lvl w:ilvl="4">
      <w:start w:val="1"/>
      <w:numFmt w:val="decimal"/>
      <w:lvlText w:val="%2.%3.%4.%5."/>
      <w:lvlJc w:val="left"/>
      <w:pPr>
        <w:ind w:left="2006" w:hanging="312"/>
      </w:pPr>
      <w:rPr>
        <w:smallCaps w:val="0"/>
        <w:strike w:val="0"/>
        <w:shd w:val="clear" w:color="auto" w:fill="auto"/>
        <w:vertAlign w:val="baseline"/>
      </w:rPr>
    </w:lvl>
    <w:lvl w:ilvl="5">
      <w:start w:val="1"/>
      <w:numFmt w:val="decimal"/>
      <w:lvlText w:val="%2.%3.%4.%5.%6."/>
      <w:lvlJc w:val="left"/>
      <w:pPr>
        <w:ind w:left="2037" w:firstLine="120"/>
      </w:pPr>
      <w:rPr>
        <w:smallCaps w:val="0"/>
        <w:strike w:val="0"/>
        <w:shd w:val="clear" w:color="auto" w:fill="auto"/>
        <w:vertAlign w:val="baseline"/>
      </w:rPr>
    </w:lvl>
    <w:lvl w:ilvl="6">
      <w:start w:val="1"/>
      <w:numFmt w:val="decimal"/>
      <w:lvlText w:val="%2.%3.%4.%5.%6.%7."/>
      <w:lvlJc w:val="left"/>
      <w:pPr>
        <w:ind w:left="2743" w:firstLine="120"/>
      </w:pPr>
      <w:rPr>
        <w:smallCaps w:val="0"/>
        <w:strike w:val="0"/>
        <w:shd w:val="clear" w:color="auto" w:fill="auto"/>
        <w:vertAlign w:val="baseline"/>
      </w:rPr>
    </w:lvl>
    <w:lvl w:ilvl="7">
      <w:start w:val="1"/>
      <w:numFmt w:val="decimal"/>
      <w:lvlText w:val="%2.%3.%4.%5.%6.%7.%8."/>
      <w:lvlJc w:val="left"/>
      <w:pPr>
        <w:ind w:left="3051" w:firstLine="120"/>
      </w:pPr>
      <w:rPr>
        <w:smallCaps w:val="0"/>
        <w:strike w:val="0"/>
        <w:shd w:val="clear" w:color="auto" w:fill="auto"/>
        <w:vertAlign w:val="baseline"/>
      </w:rPr>
    </w:lvl>
    <w:lvl w:ilvl="8">
      <w:start w:val="1"/>
      <w:numFmt w:val="decimal"/>
      <w:lvlText w:val="%2.%3.%4.%5.%6.%7.%8.%9."/>
      <w:lvlJc w:val="left"/>
      <w:pPr>
        <w:ind w:left="3480" w:firstLine="120"/>
      </w:pPr>
      <w:rPr>
        <w:smallCaps w:val="0"/>
        <w:strike w:val="0"/>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E21EC"/>
    <w:rsid w:val="000C71F7"/>
    <w:rsid w:val="000E21EC"/>
    <w:rsid w:val="00110707"/>
    <w:rsid w:val="001E3AAC"/>
    <w:rsid w:val="002F0B34"/>
    <w:rsid w:val="0033265E"/>
    <w:rsid w:val="003A039D"/>
    <w:rsid w:val="004E11B7"/>
    <w:rsid w:val="00516E69"/>
    <w:rsid w:val="00563F1D"/>
    <w:rsid w:val="005A074A"/>
    <w:rsid w:val="005B779D"/>
    <w:rsid w:val="005C0374"/>
    <w:rsid w:val="005E3319"/>
    <w:rsid w:val="006633D1"/>
    <w:rsid w:val="00764022"/>
    <w:rsid w:val="008F5F66"/>
    <w:rsid w:val="00A15856"/>
    <w:rsid w:val="00C30E1E"/>
    <w:rsid w:val="00C32E43"/>
    <w:rsid w:val="00C54E83"/>
    <w:rsid w:val="00D0078A"/>
    <w:rsid w:val="00EC1C0C"/>
    <w:rsid w:val="00F921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E85E0D5"/>
  <w15:docId w15:val="{D79D2832-7FD9-4869-BD06-159B51DFDE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lang w:eastAsia="en-US"/>
    </w:r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styleId="a4">
    <w:name w:val="Hyperlink"/>
    <w:rPr>
      <w:u w:val="single"/>
    </w:rPr>
  </w:style>
  <w:style w:type="table" w:customStyle="1" w:styleId="TableNormal2">
    <w:name w:val="Table Normal"/>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Neue" w:eastAsia="Arial Unicode MS" w:hAnsi="Helvetica Neue" w:cs="Arial Unicode MS"/>
      <w:color w:val="000000"/>
      <w14:textOutline w14:w="0" w14:cap="flat" w14:cmpd="sng" w14:algn="ctr">
        <w14:noFill/>
        <w14:prstDash w14:val="solid"/>
        <w14:bevel/>
      </w14:textOutline>
    </w:rPr>
  </w:style>
  <w:style w:type="paragraph" w:customStyle="1" w:styleId="BodyA">
    <w:name w:val="Body A"/>
    <w:rPr>
      <w:rFonts w:eastAsia="Arial Unicode MS" w:cs="Arial Unicode MS"/>
      <w:color w:val="000000"/>
      <w:u w:color="000000"/>
      <w:lang w:val="de-DE"/>
      <w14:textOutline w14:w="12700" w14:cap="flat" w14:cmpd="sng" w14:algn="ctr">
        <w14:noFill/>
        <w14:prstDash w14:val="solid"/>
        <w14:miter w14:lim="400000"/>
      </w14:textOutline>
    </w:rPr>
  </w:style>
  <w:style w:type="paragraph" w:customStyle="1" w:styleId="Default">
    <w:name w:val="Default"/>
    <w:pPr>
      <w:spacing w:before="160"/>
    </w:pPr>
    <w:rPr>
      <w:rFonts w:ascii="Helvetica Neue" w:eastAsia="Helvetica Neue" w:hAnsi="Helvetica Neue" w:cs="Helvetica Neue"/>
      <w:color w:val="000000"/>
      <w:u w:color="000000"/>
      <w14:textOutline w14:w="12700" w14:cap="flat" w14:cmpd="sng" w14:algn="ctr">
        <w14:noFill/>
        <w14:prstDash w14:val="solid"/>
        <w14:miter w14:lim="400000"/>
      </w14:textOutline>
    </w:rPr>
  </w:style>
  <w:style w:type="numbering" w:customStyle="1" w:styleId="ImportedStyle1">
    <w:name w:val="Imported Style 1"/>
  </w:style>
  <w:style w:type="paragraph" w:styleId="a5">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6">
    <w:basedOn w:val="TableNormal1"/>
    <w:tblPr>
      <w:tblStyleRowBandSize w:val="1"/>
      <w:tblStyleColBandSize w:val="1"/>
      <w:tblCellMar>
        <w:left w:w="115" w:type="dxa"/>
        <w:right w:w="115" w:type="dxa"/>
      </w:tblCellMar>
    </w:tblPr>
  </w:style>
  <w:style w:type="table" w:customStyle="1" w:styleId="a7">
    <w:basedOn w:val="TableNormal1"/>
    <w:tblPr>
      <w:tblStyleRowBandSize w:val="1"/>
      <w:tblStyleColBandSize w:val="1"/>
      <w:tblCellMar>
        <w:left w:w="115" w:type="dxa"/>
        <w:right w:w="115" w:type="dxa"/>
      </w:tblCellMar>
    </w:tblPr>
  </w:style>
  <w:style w:type="table" w:customStyle="1" w:styleId="a8">
    <w:basedOn w:val="TableNormal1"/>
    <w:tblPr>
      <w:tblStyleRowBandSize w:val="1"/>
      <w:tblStyleColBandSize w:val="1"/>
      <w:tblCellMar>
        <w:left w:w="115" w:type="dxa"/>
        <w:right w:w="115" w:type="dxa"/>
      </w:tblCellMar>
    </w:tblPr>
  </w:style>
  <w:style w:type="table" w:customStyle="1" w:styleId="a9">
    <w:basedOn w:val="TableNormal1"/>
    <w:tblPr>
      <w:tblStyleRowBandSize w:val="1"/>
      <w:tblStyleColBandSize w:val="1"/>
      <w:tblCellMar>
        <w:left w:w="115" w:type="dxa"/>
        <w:right w:w="115" w:type="dxa"/>
      </w:tblCellMar>
    </w:tblPr>
  </w:style>
  <w:style w:type="table" w:customStyle="1" w:styleId="aa">
    <w:basedOn w:val="TableNormal1"/>
    <w:tblPr>
      <w:tblStyleRowBandSize w:val="1"/>
      <w:tblStyleColBandSize w:val="1"/>
      <w:tblCellMar>
        <w:left w:w="115" w:type="dxa"/>
        <w:right w:w="115" w:type="dxa"/>
      </w:tblCellMar>
    </w:tblPr>
  </w:style>
  <w:style w:type="table" w:customStyle="1" w:styleId="ab">
    <w:basedOn w:val="TableNormal1"/>
    <w:tblPr>
      <w:tblStyleRowBandSize w:val="1"/>
      <w:tblStyleColBandSize w:val="1"/>
      <w:tblCellMar>
        <w:left w:w="115" w:type="dxa"/>
        <w:right w:w="115" w:type="dxa"/>
      </w:tblCellMar>
    </w:tblPr>
  </w:style>
  <w:style w:type="table" w:customStyle="1" w:styleId="ac">
    <w:basedOn w:val="TableNormal1"/>
    <w:tblPr>
      <w:tblStyleRowBandSize w:val="1"/>
      <w:tblStyleColBandSize w:val="1"/>
      <w:tblCellMar>
        <w:left w:w="115" w:type="dxa"/>
        <w:right w:w="115" w:type="dxa"/>
      </w:tblCellMar>
    </w:tblPr>
  </w:style>
  <w:style w:type="table" w:customStyle="1" w:styleId="ad">
    <w:basedOn w:val="TableNormal1"/>
    <w:tblPr>
      <w:tblStyleRowBandSize w:val="1"/>
      <w:tblStyleColBandSize w:val="1"/>
      <w:tblCellMar>
        <w:left w:w="115" w:type="dxa"/>
        <w:right w:w="115" w:type="dxa"/>
      </w:tblCellMar>
    </w:tblPr>
  </w:style>
  <w:style w:type="table" w:customStyle="1" w:styleId="ae">
    <w:basedOn w:val="TableNormal1"/>
    <w:tblPr>
      <w:tblStyleRowBandSize w:val="1"/>
      <w:tblStyleColBandSize w:val="1"/>
      <w:tblCellMar>
        <w:left w:w="115" w:type="dxa"/>
        <w:right w:w="115" w:type="dxa"/>
      </w:tblCellMar>
    </w:tblPr>
  </w:style>
  <w:style w:type="table" w:customStyle="1" w:styleId="af">
    <w:basedOn w:val="TableNormal1"/>
    <w:tblPr>
      <w:tblStyleRowBandSize w:val="1"/>
      <w:tblStyleColBandSize w:val="1"/>
      <w:tblCellMar>
        <w:left w:w="115" w:type="dxa"/>
        <w:right w:w="115" w:type="dxa"/>
      </w:tblCellMar>
    </w:tblPr>
  </w:style>
  <w:style w:type="table" w:customStyle="1" w:styleId="af0">
    <w:basedOn w:val="TableNormal1"/>
    <w:tblPr>
      <w:tblStyleRowBandSize w:val="1"/>
      <w:tblStyleColBandSize w:val="1"/>
      <w:tblCellMar>
        <w:left w:w="115" w:type="dxa"/>
        <w:right w:w="115" w:type="dxa"/>
      </w:tblCellMar>
    </w:tblPr>
  </w:style>
  <w:style w:type="table" w:customStyle="1" w:styleId="af1">
    <w:basedOn w:val="TableNormal1"/>
    <w:tblPr>
      <w:tblStyleRowBandSize w:val="1"/>
      <w:tblStyleColBandSize w:val="1"/>
      <w:tblCellMar>
        <w:left w:w="115" w:type="dxa"/>
        <w:right w:w="115" w:type="dxa"/>
      </w:tblCellMar>
    </w:tblPr>
  </w:style>
  <w:style w:type="table" w:customStyle="1" w:styleId="af2">
    <w:basedOn w:val="TableNormal1"/>
    <w:tblPr>
      <w:tblStyleRowBandSize w:val="1"/>
      <w:tblStyleColBandSize w:val="1"/>
      <w:tblCellMar>
        <w:left w:w="115" w:type="dxa"/>
        <w:right w:w="115" w:type="dxa"/>
      </w:tblCellMar>
    </w:tblPr>
  </w:style>
  <w:style w:type="table" w:customStyle="1" w:styleId="af3">
    <w:basedOn w:val="TableNormal1"/>
    <w:tblPr>
      <w:tblStyleRowBandSize w:val="1"/>
      <w:tblStyleColBandSize w:val="1"/>
      <w:tblCellMar>
        <w:left w:w="115" w:type="dxa"/>
        <w:right w:w="115" w:type="dxa"/>
      </w:tblCellMar>
    </w:tblPr>
  </w:style>
  <w:style w:type="table" w:customStyle="1" w:styleId="af4">
    <w:basedOn w:val="TableNormal1"/>
    <w:tblPr>
      <w:tblStyleRowBandSize w:val="1"/>
      <w:tblStyleColBandSize w:val="1"/>
      <w:tblCellMar>
        <w:left w:w="115" w:type="dxa"/>
        <w:right w:w="115" w:type="dxa"/>
      </w:tblCellMar>
    </w:tblPr>
  </w:style>
  <w:style w:type="table" w:customStyle="1" w:styleId="af5">
    <w:basedOn w:val="TableNormal1"/>
    <w:tblPr>
      <w:tblStyleRowBandSize w:val="1"/>
      <w:tblStyleColBandSize w:val="1"/>
      <w:tblCellMar>
        <w:left w:w="115" w:type="dxa"/>
        <w:right w:w="115" w:type="dxa"/>
      </w:tblCellMar>
    </w:tblPr>
  </w:style>
  <w:style w:type="table" w:customStyle="1" w:styleId="af6">
    <w:basedOn w:val="TableNormal1"/>
    <w:tblPr>
      <w:tblStyleRowBandSize w:val="1"/>
      <w:tblStyleColBandSize w:val="1"/>
      <w:tblCellMar>
        <w:left w:w="115" w:type="dxa"/>
        <w:right w:w="115" w:type="dxa"/>
      </w:tblCellMar>
    </w:tblPr>
  </w:style>
  <w:style w:type="table" w:customStyle="1" w:styleId="af7">
    <w:basedOn w:val="TableNormal1"/>
    <w:tblPr>
      <w:tblStyleRowBandSize w:val="1"/>
      <w:tblStyleColBandSize w:val="1"/>
      <w:tblCellMar>
        <w:left w:w="115" w:type="dxa"/>
        <w:right w:w="115" w:type="dxa"/>
      </w:tblCellMar>
    </w:tblPr>
  </w:style>
  <w:style w:type="table" w:customStyle="1" w:styleId="af8">
    <w:basedOn w:val="TableNormal1"/>
    <w:tblPr>
      <w:tblStyleRowBandSize w:val="1"/>
      <w:tblStyleColBandSize w:val="1"/>
      <w:tblCellMar>
        <w:left w:w="115" w:type="dxa"/>
        <w:right w:w="115" w:type="dxa"/>
      </w:tblCellMar>
    </w:tblPr>
  </w:style>
  <w:style w:type="table" w:customStyle="1" w:styleId="af9">
    <w:basedOn w:val="TableNormal1"/>
    <w:tblPr>
      <w:tblStyleRowBandSize w:val="1"/>
      <w:tblStyleColBandSize w:val="1"/>
      <w:tblCellMar>
        <w:left w:w="115" w:type="dxa"/>
        <w:right w:w="115" w:type="dxa"/>
      </w:tblCellMar>
    </w:tblPr>
  </w:style>
  <w:style w:type="table" w:customStyle="1" w:styleId="afa">
    <w:basedOn w:val="TableNormal1"/>
    <w:tblPr>
      <w:tblStyleRowBandSize w:val="1"/>
      <w:tblStyleColBandSize w:val="1"/>
      <w:tblCellMar>
        <w:left w:w="115" w:type="dxa"/>
        <w:right w:w="115" w:type="dxa"/>
      </w:tblCellMar>
    </w:tblPr>
  </w:style>
  <w:style w:type="table" w:customStyle="1" w:styleId="afb">
    <w:basedOn w:val="TableNormal1"/>
    <w:tblPr>
      <w:tblStyleRowBandSize w:val="1"/>
      <w:tblStyleColBandSize w:val="1"/>
      <w:tblCellMar>
        <w:left w:w="115" w:type="dxa"/>
        <w:right w:w="115" w:type="dxa"/>
      </w:tblCellMar>
    </w:tblPr>
  </w:style>
  <w:style w:type="table" w:customStyle="1" w:styleId="afc">
    <w:basedOn w:val="TableNormal1"/>
    <w:tblPr>
      <w:tblStyleRowBandSize w:val="1"/>
      <w:tblStyleColBandSize w:val="1"/>
      <w:tblCellMar>
        <w:left w:w="115" w:type="dxa"/>
        <w:right w:w="115" w:type="dxa"/>
      </w:tblCellMar>
    </w:tblPr>
  </w:style>
  <w:style w:type="table" w:customStyle="1" w:styleId="afd">
    <w:basedOn w:val="TableNormal1"/>
    <w:tblPr>
      <w:tblStyleRowBandSize w:val="1"/>
      <w:tblStyleColBandSize w:val="1"/>
      <w:tblCellMar>
        <w:left w:w="115" w:type="dxa"/>
        <w:right w:w="115" w:type="dxa"/>
      </w:tblCellMar>
    </w:tblPr>
  </w:style>
  <w:style w:type="table" w:customStyle="1" w:styleId="afe">
    <w:basedOn w:val="TableNormal1"/>
    <w:tblPr>
      <w:tblStyleRowBandSize w:val="1"/>
      <w:tblStyleColBandSize w:val="1"/>
      <w:tblCellMar>
        <w:left w:w="115" w:type="dxa"/>
        <w:right w:w="115" w:type="dxa"/>
      </w:tblCellMar>
    </w:tblPr>
  </w:style>
  <w:style w:type="table" w:customStyle="1" w:styleId="aff">
    <w:basedOn w:val="TableNormal1"/>
    <w:tblPr>
      <w:tblStyleRowBandSize w:val="1"/>
      <w:tblStyleColBandSize w:val="1"/>
      <w:tblCellMar>
        <w:left w:w="115" w:type="dxa"/>
        <w:right w:w="115" w:type="dxa"/>
      </w:tblCellMar>
    </w:tblPr>
  </w:style>
  <w:style w:type="table" w:customStyle="1" w:styleId="aff0">
    <w:basedOn w:val="TableNormal1"/>
    <w:tblPr>
      <w:tblStyleRowBandSize w:val="1"/>
      <w:tblStyleColBandSize w:val="1"/>
      <w:tblCellMar>
        <w:left w:w="115" w:type="dxa"/>
        <w:right w:w="115" w:type="dxa"/>
      </w:tblCellMar>
    </w:tblPr>
  </w:style>
  <w:style w:type="table" w:customStyle="1" w:styleId="aff1">
    <w:basedOn w:val="TableNormal1"/>
    <w:tblPr>
      <w:tblStyleRowBandSize w:val="1"/>
      <w:tblStyleColBandSize w:val="1"/>
      <w:tblCellMar>
        <w:left w:w="115" w:type="dxa"/>
        <w:right w:w="115" w:type="dxa"/>
      </w:tblCellMar>
    </w:tblPr>
  </w:style>
  <w:style w:type="table" w:customStyle="1" w:styleId="aff2">
    <w:basedOn w:val="TableNormal1"/>
    <w:tblPr>
      <w:tblStyleRowBandSize w:val="1"/>
      <w:tblStyleColBandSize w:val="1"/>
      <w:tblCellMar>
        <w:left w:w="115" w:type="dxa"/>
        <w:right w:w="115" w:type="dxa"/>
      </w:tblCellMar>
    </w:tblPr>
  </w:style>
  <w:style w:type="table" w:customStyle="1" w:styleId="aff3">
    <w:basedOn w:val="TableNormal1"/>
    <w:tblPr>
      <w:tblStyleRowBandSize w:val="1"/>
      <w:tblStyleColBandSize w:val="1"/>
      <w:tblCellMar>
        <w:left w:w="115" w:type="dxa"/>
        <w:right w:w="115" w:type="dxa"/>
      </w:tblCellMar>
    </w:tblPr>
  </w:style>
  <w:style w:type="table" w:customStyle="1" w:styleId="aff4">
    <w:basedOn w:val="TableNormal1"/>
    <w:tblPr>
      <w:tblStyleRowBandSize w:val="1"/>
      <w:tblStyleColBandSize w:val="1"/>
      <w:tblCellMar>
        <w:left w:w="115" w:type="dxa"/>
        <w:right w:w="115" w:type="dxa"/>
      </w:tblCellMar>
    </w:tblPr>
  </w:style>
  <w:style w:type="table" w:customStyle="1" w:styleId="aff5">
    <w:basedOn w:val="TableNormal1"/>
    <w:tblPr>
      <w:tblStyleRowBandSize w:val="1"/>
      <w:tblStyleColBandSize w:val="1"/>
      <w:tblCellMar>
        <w:left w:w="115" w:type="dxa"/>
        <w:right w:w="115" w:type="dxa"/>
      </w:tblCellMar>
    </w:tblPr>
  </w:style>
  <w:style w:type="table" w:customStyle="1" w:styleId="aff6">
    <w:basedOn w:val="TableNormal1"/>
    <w:tblPr>
      <w:tblStyleRowBandSize w:val="1"/>
      <w:tblStyleColBandSize w:val="1"/>
      <w:tblCellMar>
        <w:left w:w="115" w:type="dxa"/>
        <w:right w:w="115" w:type="dxa"/>
      </w:tblCellMar>
    </w:tblPr>
  </w:style>
  <w:style w:type="table" w:customStyle="1" w:styleId="aff7">
    <w:basedOn w:val="TableNormal1"/>
    <w:tblPr>
      <w:tblStyleRowBandSize w:val="1"/>
      <w:tblStyleColBandSize w:val="1"/>
      <w:tblCellMar>
        <w:left w:w="115" w:type="dxa"/>
        <w:right w:w="115" w:type="dxa"/>
      </w:tblCellMar>
    </w:tblPr>
  </w:style>
  <w:style w:type="table" w:customStyle="1" w:styleId="aff8">
    <w:basedOn w:val="TableNormal1"/>
    <w:tblPr>
      <w:tblStyleRowBandSize w:val="1"/>
      <w:tblStyleColBandSize w:val="1"/>
      <w:tblCellMar>
        <w:left w:w="115" w:type="dxa"/>
        <w:right w:w="115" w:type="dxa"/>
      </w:tblCellMar>
    </w:tblPr>
  </w:style>
  <w:style w:type="table" w:customStyle="1" w:styleId="aff9">
    <w:basedOn w:val="TableNormal1"/>
    <w:tblPr>
      <w:tblStyleRowBandSize w:val="1"/>
      <w:tblStyleColBandSize w:val="1"/>
      <w:tblCellMar>
        <w:left w:w="115" w:type="dxa"/>
        <w:right w:w="115" w:type="dxa"/>
      </w:tblCellMar>
    </w:tblPr>
  </w:style>
  <w:style w:type="table" w:customStyle="1" w:styleId="affa">
    <w:basedOn w:val="TableNormal1"/>
    <w:tblPr>
      <w:tblStyleRowBandSize w:val="1"/>
      <w:tblStyleColBandSize w:val="1"/>
      <w:tblCellMar>
        <w:left w:w="115" w:type="dxa"/>
        <w:right w:w="115" w:type="dxa"/>
      </w:tblCellMar>
    </w:tblPr>
  </w:style>
  <w:style w:type="table" w:customStyle="1" w:styleId="affb">
    <w:basedOn w:val="TableNormal1"/>
    <w:tblPr>
      <w:tblStyleRowBandSize w:val="1"/>
      <w:tblStyleColBandSize w:val="1"/>
      <w:tblCellMar>
        <w:left w:w="115" w:type="dxa"/>
        <w:right w:w="115" w:type="dxa"/>
      </w:tblCellMar>
    </w:tblPr>
  </w:style>
  <w:style w:type="table" w:customStyle="1" w:styleId="affc">
    <w:basedOn w:val="TableNormal1"/>
    <w:tblPr>
      <w:tblStyleRowBandSize w:val="1"/>
      <w:tblStyleColBandSize w:val="1"/>
      <w:tblCellMar>
        <w:left w:w="115" w:type="dxa"/>
        <w:right w:w="115" w:type="dxa"/>
      </w:tblCellMar>
    </w:tblPr>
  </w:style>
  <w:style w:type="table" w:customStyle="1" w:styleId="affd">
    <w:basedOn w:val="TableNormal1"/>
    <w:tblPr>
      <w:tblStyleRowBandSize w:val="1"/>
      <w:tblStyleColBandSize w:val="1"/>
      <w:tblCellMar>
        <w:left w:w="115" w:type="dxa"/>
        <w:right w:w="115" w:type="dxa"/>
      </w:tblCellMar>
    </w:tblPr>
  </w:style>
  <w:style w:type="table" w:customStyle="1" w:styleId="affe">
    <w:basedOn w:val="TableNormal1"/>
    <w:tblPr>
      <w:tblStyleRowBandSize w:val="1"/>
      <w:tblStyleColBandSize w:val="1"/>
      <w:tblCellMar>
        <w:left w:w="115" w:type="dxa"/>
        <w:right w:w="115" w:type="dxa"/>
      </w:tblCellMar>
    </w:tblPr>
  </w:style>
  <w:style w:type="table" w:customStyle="1" w:styleId="afff">
    <w:basedOn w:val="TableNormal1"/>
    <w:tblPr>
      <w:tblStyleRowBandSize w:val="1"/>
      <w:tblStyleColBandSize w:val="1"/>
      <w:tblCellMar>
        <w:left w:w="115" w:type="dxa"/>
        <w:right w:w="115" w:type="dxa"/>
      </w:tblCellMar>
    </w:tblPr>
  </w:style>
  <w:style w:type="table" w:customStyle="1" w:styleId="afff0">
    <w:basedOn w:val="TableNormal1"/>
    <w:tblPr>
      <w:tblStyleRowBandSize w:val="1"/>
      <w:tblStyleColBandSize w:val="1"/>
      <w:tblCellMar>
        <w:left w:w="115" w:type="dxa"/>
        <w:right w:w="115" w:type="dxa"/>
      </w:tblCellMar>
    </w:tblPr>
  </w:style>
  <w:style w:type="table" w:customStyle="1" w:styleId="afff1">
    <w:basedOn w:val="TableNormal1"/>
    <w:tblPr>
      <w:tblStyleRowBandSize w:val="1"/>
      <w:tblStyleColBandSize w:val="1"/>
      <w:tblCellMar>
        <w:left w:w="115" w:type="dxa"/>
        <w:right w:w="115" w:type="dxa"/>
      </w:tblCellMar>
    </w:tblPr>
  </w:style>
  <w:style w:type="table" w:customStyle="1" w:styleId="afff2">
    <w:basedOn w:val="TableNormal1"/>
    <w:tblPr>
      <w:tblStyleRowBandSize w:val="1"/>
      <w:tblStyleColBandSize w:val="1"/>
      <w:tblCellMar>
        <w:left w:w="115" w:type="dxa"/>
        <w:right w:w="115" w:type="dxa"/>
      </w:tblCellMar>
    </w:tblPr>
  </w:style>
  <w:style w:type="table" w:customStyle="1" w:styleId="afff3">
    <w:basedOn w:val="TableNormal1"/>
    <w:tblPr>
      <w:tblStyleRowBandSize w:val="1"/>
      <w:tblStyleColBandSize w:val="1"/>
      <w:tblCellMar>
        <w:left w:w="115" w:type="dxa"/>
        <w:right w:w="115" w:type="dxa"/>
      </w:tblCellMar>
    </w:tblPr>
  </w:style>
  <w:style w:type="table" w:customStyle="1" w:styleId="afff4">
    <w:basedOn w:val="TableNormal1"/>
    <w:tblPr>
      <w:tblStyleRowBandSize w:val="1"/>
      <w:tblStyleColBandSize w:val="1"/>
      <w:tblCellMar>
        <w:left w:w="115" w:type="dxa"/>
        <w:right w:w="115" w:type="dxa"/>
      </w:tblCellMar>
    </w:tblPr>
  </w:style>
  <w:style w:type="table" w:customStyle="1" w:styleId="afff5">
    <w:basedOn w:val="TableNormal1"/>
    <w:tblPr>
      <w:tblStyleRowBandSize w:val="1"/>
      <w:tblStyleColBandSize w:val="1"/>
      <w:tblCellMar>
        <w:left w:w="115" w:type="dxa"/>
        <w:right w:w="115" w:type="dxa"/>
      </w:tblCellMar>
    </w:tblPr>
  </w:style>
  <w:style w:type="table" w:customStyle="1" w:styleId="afff6">
    <w:basedOn w:val="TableNormal1"/>
    <w:tblPr>
      <w:tblStyleRowBandSize w:val="1"/>
      <w:tblStyleColBandSize w:val="1"/>
      <w:tblCellMar>
        <w:left w:w="115" w:type="dxa"/>
        <w:right w:w="115" w:type="dxa"/>
      </w:tblCellMar>
    </w:tblPr>
  </w:style>
  <w:style w:type="table" w:customStyle="1" w:styleId="afff7">
    <w:basedOn w:val="TableNormal1"/>
    <w:tblPr>
      <w:tblStyleRowBandSize w:val="1"/>
      <w:tblStyleColBandSize w:val="1"/>
      <w:tblCellMar>
        <w:left w:w="115" w:type="dxa"/>
        <w:right w:w="115" w:type="dxa"/>
      </w:tblCellMar>
    </w:tblPr>
  </w:style>
  <w:style w:type="table" w:customStyle="1" w:styleId="afff8">
    <w:basedOn w:val="TableNormal1"/>
    <w:tblPr>
      <w:tblStyleRowBandSize w:val="1"/>
      <w:tblStyleColBandSize w:val="1"/>
      <w:tblCellMar>
        <w:left w:w="115" w:type="dxa"/>
        <w:right w:w="115" w:type="dxa"/>
      </w:tblCellMar>
    </w:tblPr>
  </w:style>
  <w:style w:type="table" w:customStyle="1" w:styleId="afff9">
    <w:basedOn w:val="TableNormal1"/>
    <w:tblPr>
      <w:tblStyleRowBandSize w:val="1"/>
      <w:tblStyleColBandSize w:val="1"/>
      <w:tblCellMar>
        <w:left w:w="115" w:type="dxa"/>
        <w:right w:w="115" w:type="dxa"/>
      </w:tblCellMar>
    </w:tblPr>
  </w:style>
  <w:style w:type="table" w:customStyle="1" w:styleId="afffa">
    <w:basedOn w:val="TableNormal1"/>
    <w:tblPr>
      <w:tblStyleRowBandSize w:val="1"/>
      <w:tblStyleColBandSize w:val="1"/>
      <w:tblCellMar>
        <w:left w:w="115" w:type="dxa"/>
        <w:right w:w="115" w:type="dxa"/>
      </w:tblCellMar>
    </w:tblPr>
  </w:style>
  <w:style w:type="table" w:customStyle="1" w:styleId="afffb">
    <w:basedOn w:val="TableNormal1"/>
    <w:tblPr>
      <w:tblStyleRowBandSize w:val="1"/>
      <w:tblStyleColBandSize w:val="1"/>
      <w:tblCellMar>
        <w:left w:w="115" w:type="dxa"/>
        <w:right w:w="115" w:type="dxa"/>
      </w:tblCellMar>
    </w:tblPr>
  </w:style>
  <w:style w:type="table" w:customStyle="1" w:styleId="afffc">
    <w:basedOn w:val="TableNormal1"/>
    <w:tblPr>
      <w:tblStyleRowBandSize w:val="1"/>
      <w:tblStyleColBandSize w:val="1"/>
      <w:tblCellMar>
        <w:left w:w="115" w:type="dxa"/>
        <w:right w:w="115" w:type="dxa"/>
      </w:tblCellMar>
    </w:tblPr>
  </w:style>
  <w:style w:type="table" w:customStyle="1" w:styleId="afffd">
    <w:basedOn w:val="TableNormal1"/>
    <w:tblPr>
      <w:tblStyleRowBandSize w:val="1"/>
      <w:tblStyleColBandSize w:val="1"/>
      <w:tblCellMar>
        <w:left w:w="115" w:type="dxa"/>
        <w:right w:w="115" w:type="dxa"/>
      </w:tblCellMar>
    </w:tblPr>
  </w:style>
  <w:style w:type="table" w:customStyle="1" w:styleId="afffe">
    <w:basedOn w:val="TableNormal1"/>
    <w:tblPr>
      <w:tblStyleRowBandSize w:val="1"/>
      <w:tblStyleColBandSize w:val="1"/>
      <w:tblCellMar>
        <w:left w:w="115" w:type="dxa"/>
        <w:right w:w="115" w:type="dxa"/>
      </w:tblCellMar>
    </w:tblPr>
  </w:style>
  <w:style w:type="table" w:customStyle="1" w:styleId="affff">
    <w:basedOn w:val="TableNormal1"/>
    <w:tblPr>
      <w:tblStyleRowBandSize w:val="1"/>
      <w:tblStyleColBandSize w:val="1"/>
      <w:tblCellMar>
        <w:left w:w="115" w:type="dxa"/>
        <w:right w:w="115" w:type="dxa"/>
      </w:tblCellMar>
    </w:tblPr>
  </w:style>
  <w:style w:type="table" w:customStyle="1" w:styleId="affff0">
    <w:basedOn w:val="TableNormal1"/>
    <w:tblPr>
      <w:tblStyleRowBandSize w:val="1"/>
      <w:tblStyleColBandSize w:val="1"/>
      <w:tblCellMar>
        <w:left w:w="115" w:type="dxa"/>
        <w:right w:w="115" w:type="dxa"/>
      </w:tblCellMar>
    </w:tblPr>
  </w:style>
  <w:style w:type="table" w:customStyle="1" w:styleId="affff1">
    <w:basedOn w:val="TableNormal1"/>
    <w:tblPr>
      <w:tblStyleRowBandSize w:val="1"/>
      <w:tblStyleColBandSize w:val="1"/>
      <w:tblCellMar>
        <w:left w:w="115" w:type="dxa"/>
        <w:right w:w="115" w:type="dxa"/>
      </w:tblCellMar>
    </w:tblPr>
  </w:style>
  <w:style w:type="table" w:customStyle="1" w:styleId="affff2">
    <w:basedOn w:val="TableNormal1"/>
    <w:tblPr>
      <w:tblStyleRowBandSize w:val="1"/>
      <w:tblStyleColBandSize w:val="1"/>
      <w:tblCellMar>
        <w:left w:w="115" w:type="dxa"/>
        <w:right w:w="115" w:type="dxa"/>
      </w:tblCellMar>
    </w:tblPr>
  </w:style>
  <w:style w:type="table" w:customStyle="1" w:styleId="affff3">
    <w:basedOn w:val="TableNormal1"/>
    <w:tblPr>
      <w:tblStyleRowBandSize w:val="1"/>
      <w:tblStyleColBandSize w:val="1"/>
      <w:tblCellMar>
        <w:left w:w="115" w:type="dxa"/>
        <w:right w:w="115" w:type="dxa"/>
      </w:tblCellMar>
    </w:tblPr>
  </w:style>
  <w:style w:type="table" w:customStyle="1" w:styleId="affff4">
    <w:basedOn w:val="TableNormal1"/>
    <w:tblPr>
      <w:tblStyleRowBandSize w:val="1"/>
      <w:tblStyleColBandSize w:val="1"/>
      <w:tblCellMar>
        <w:left w:w="115" w:type="dxa"/>
        <w:right w:w="115" w:type="dxa"/>
      </w:tblCellMar>
    </w:tblPr>
  </w:style>
  <w:style w:type="table" w:customStyle="1" w:styleId="affff5">
    <w:basedOn w:val="TableNormal1"/>
    <w:tblPr>
      <w:tblStyleRowBandSize w:val="1"/>
      <w:tblStyleColBandSize w:val="1"/>
      <w:tblCellMar>
        <w:left w:w="115" w:type="dxa"/>
        <w:right w:w="115" w:type="dxa"/>
      </w:tblCellMar>
    </w:tblPr>
  </w:style>
  <w:style w:type="table" w:customStyle="1" w:styleId="affff6">
    <w:basedOn w:val="TableNormal1"/>
    <w:tblPr>
      <w:tblStyleRowBandSize w:val="1"/>
      <w:tblStyleColBandSize w:val="1"/>
      <w:tblCellMar>
        <w:left w:w="115" w:type="dxa"/>
        <w:right w:w="115" w:type="dxa"/>
      </w:tblCellMar>
    </w:tblPr>
  </w:style>
  <w:style w:type="table" w:customStyle="1" w:styleId="affff7">
    <w:basedOn w:val="TableNormal1"/>
    <w:tblPr>
      <w:tblStyleRowBandSize w:val="1"/>
      <w:tblStyleColBandSize w:val="1"/>
      <w:tblCellMar>
        <w:left w:w="115" w:type="dxa"/>
        <w:right w:w="115" w:type="dxa"/>
      </w:tblCellMar>
    </w:tblPr>
  </w:style>
  <w:style w:type="table" w:customStyle="1" w:styleId="affff8">
    <w:basedOn w:val="TableNormal1"/>
    <w:tblPr>
      <w:tblStyleRowBandSize w:val="1"/>
      <w:tblStyleColBandSize w:val="1"/>
      <w:tblCellMar>
        <w:left w:w="115" w:type="dxa"/>
        <w:right w:w="115" w:type="dxa"/>
      </w:tblCellMar>
    </w:tblPr>
  </w:style>
  <w:style w:type="table" w:customStyle="1" w:styleId="affff9">
    <w:basedOn w:val="TableNormal1"/>
    <w:tblPr>
      <w:tblStyleRowBandSize w:val="1"/>
      <w:tblStyleColBandSize w:val="1"/>
      <w:tblCellMar>
        <w:left w:w="115" w:type="dxa"/>
        <w:right w:w="115" w:type="dxa"/>
      </w:tblCellMar>
    </w:tblPr>
  </w:style>
  <w:style w:type="table" w:customStyle="1" w:styleId="affffa">
    <w:basedOn w:val="TableNormal1"/>
    <w:tblPr>
      <w:tblStyleRowBandSize w:val="1"/>
      <w:tblStyleColBandSize w:val="1"/>
      <w:tblCellMar>
        <w:left w:w="115" w:type="dxa"/>
        <w:right w:w="115" w:type="dxa"/>
      </w:tblCellMar>
    </w:tblPr>
  </w:style>
  <w:style w:type="table" w:customStyle="1" w:styleId="affffb">
    <w:basedOn w:val="TableNormal1"/>
    <w:tblPr>
      <w:tblStyleRowBandSize w:val="1"/>
      <w:tblStyleColBandSize w:val="1"/>
      <w:tblCellMar>
        <w:left w:w="115" w:type="dxa"/>
        <w:right w:w="115" w:type="dxa"/>
      </w:tblCellMar>
    </w:tblPr>
  </w:style>
  <w:style w:type="table" w:customStyle="1" w:styleId="affffc">
    <w:basedOn w:val="TableNormal1"/>
    <w:tblPr>
      <w:tblStyleRowBandSize w:val="1"/>
      <w:tblStyleColBandSize w:val="1"/>
      <w:tblCellMar>
        <w:left w:w="115" w:type="dxa"/>
        <w:right w:w="115" w:type="dxa"/>
      </w:tblCellMar>
    </w:tblPr>
  </w:style>
  <w:style w:type="table" w:customStyle="1" w:styleId="affffd">
    <w:basedOn w:val="TableNormal1"/>
    <w:tblPr>
      <w:tblStyleRowBandSize w:val="1"/>
      <w:tblStyleColBandSize w:val="1"/>
      <w:tblCellMar>
        <w:left w:w="115" w:type="dxa"/>
        <w:right w:w="115" w:type="dxa"/>
      </w:tblCellMar>
    </w:tblPr>
  </w:style>
  <w:style w:type="table" w:customStyle="1" w:styleId="affffe">
    <w:basedOn w:val="TableNormal1"/>
    <w:tblPr>
      <w:tblStyleRowBandSize w:val="1"/>
      <w:tblStyleColBandSize w:val="1"/>
      <w:tblCellMar>
        <w:left w:w="115" w:type="dxa"/>
        <w:right w:w="115" w:type="dxa"/>
      </w:tblCellMar>
    </w:tblPr>
  </w:style>
  <w:style w:type="table" w:customStyle="1" w:styleId="afffff">
    <w:basedOn w:val="TableNormal1"/>
    <w:tblPr>
      <w:tblStyleRowBandSize w:val="1"/>
      <w:tblStyleColBandSize w:val="1"/>
      <w:tblCellMar>
        <w:left w:w="115" w:type="dxa"/>
        <w:right w:w="115" w:type="dxa"/>
      </w:tblCellMar>
    </w:tblPr>
  </w:style>
  <w:style w:type="table" w:customStyle="1" w:styleId="afffff0">
    <w:basedOn w:val="TableNormal1"/>
    <w:tblPr>
      <w:tblStyleRowBandSize w:val="1"/>
      <w:tblStyleColBandSize w:val="1"/>
      <w:tblCellMar>
        <w:left w:w="115" w:type="dxa"/>
        <w:right w:w="115" w:type="dxa"/>
      </w:tblCellMar>
    </w:tblPr>
  </w:style>
  <w:style w:type="table" w:customStyle="1" w:styleId="afffff1">
    <w:basedOn w:val="TableNormal1"/>
    <w:tblPr>
      <w:tblStyleRowBandSize w:val="1"/>
      <w:tblStyleColBandSize w:val="1"/>
      <w:tblCellMar>
        <w:left w:w="115" w:type="dxa"/>
        <w:right w:w="115" w:type="dxa"/>
      </w:tblCellMar>
    </w:tblPr>
  </w:style>
  <w:style w:type="table" w:customStyle="1" w:styleId="afffff2">
    <w:basedOn w:val="TableNormal1"/>
    <w:tblPr>
      <w:tblStyleRowBandSize w:val="1"/>
      <w:tblStyleColBandSize w:val="1"/>
      <w:tblCellMar>
        <w:left w:w="115" w:type="dxa"/>
        <w:right w:w="115" w:type="dxa"/>
      </w:tblCellMar>
    </w:tblPr>
  </w:style>
  <w:style w:type="table" w:customStyle="1" w:styleId="afffff3">
    <w:basedOn w:val="TableNormal1"/>
    <w:tblPr>
      <w:tblStyleRowBandSize w:val="1"/>
      <w:tblStyleColBandSize w:val="1"/>
      <w:tblCellMar>
        <w:left w:w="115" w:type="dxa"/>
        <w:right w:w="115" w:type="dxa"/>
      </w:tblCellMar>
    </w:tblPr>
  </w:style>
  <w:style w:type="table" w:customStyle="1" w:styleId="afffff4">
    <w:basedOn w:val="TableNormal1"/>
    <w:tblPr>
      <w:tblStyleRowBandSize w:val="1"/>
      <w:tblStyleColBandSize w:val="1"/>
      <w:tblCellMar>
        <w:left w:w="115" w:type="dxa"/>
        <w:right w:w="115" w:type="dxa"/>
      </w:tblCellMar>
    </w:tblPr>
  </w:style>
  <w:style w:type="table" w:customStyle="1" w:styleId="afffff5">
    <w:basedOn w:val="TableNormal1"/>
    <w:tblPr>
      <w:tblStyleRowBandSize w:val="1"/>
      <w:tblStyleColBandSize w:val="1"/>
      <w:tblCellMar>
        <w:left w:w="115" w:type="dxa"/>
        <w:right w:w="115" w:type="dxa"/>
      </w:tblCellMar>
    </w:tblPr>
  </w:style>
  <w:style w:type="table" w:customStyle="1" w:styleId="afffff6">
    <w:basedOn w:val="TableNormal1"/>
    <w:tblPr>
      <w:tblStyleRowBandSize w:val="1"/>
      <w:tblStyleColBandSize w:val="1"/>
      <w:tblCellMar>
        <w:left w:w="115" w:type="dxa"/>
        <w:right w:w="115" w:type="dxa"/>
      </w:tblCellMar>
    </w:tblPr>
  </w:style>
  <w:style w:type="table" w:customStyle="1" w:styleId="afffff7">
    <w:basedOn w:val="TableNormal1"/>
    <w:tblPr>
      <w:tblStyleRowBandSize w:val="1"/>
      <w:tblStyleColBandSize w:val="1"/>
      <w:tblCellMar>
        <w:left w:w="115" w:type="dxa"/>
        <w:right w:w="115" w:type="dxa"/>
      </w:tblCellMar>
    </w:tblPr>
  </w:style>
  <w:style w:type="table" w:customStyle="1" w:styleId="afffff8">
    <w:basedOn w:val="TableNormal1"/>
    <w:tblPr>
      <w:tblStyleRowBandSize w:val="1"/>
      <w:tblStyleColBandSize w:val="1"/>
      <w:tblCellMar>
        <w:left w:w="115" w:type="dxa"/>
        <w:right w:w="115" w:type="dxa"/>
      </w:tblCellMar>
    </w:tblPr>
  </w:style>
  <w:style w:type="table" w:customStyle="1" w:styleId="afffff9">
    <w:basedOn w:val="TableNormal1"/>
    <w:tblPr>
      <w:tblStyleRowBandSize w:val="1"/>
      <w:tblStyleColBandSize w:val="1"/>
      <w:tblCellMar>
        <w:left w:w="115" w:type="dxa"/>
        <w:right w:w="115" w:type="dxa"/>
      </w:tblCellMar>
    </w:tblPr>
  </w:style>
  <w:style w:type="table" w:customStyle="1" w:styleId="afffffa">
    <w:basedOn w:val="TableNormal1"/>
    <w:tblPr>
      <w:tblStyleRowBandSize w:val="1"/>
      <w:tblStyleColBandSize w:val="1"/>
      <w:tblCellMar>
        <w:left w:w="115" w:type="dxa"/>
        <w:right w:w="115" w:type="dxa"/>
      </w:tblCellMar>
    </w:tblPr>
  </w:style>
  <w:style w:type="table" w:customStyle="1" w:styleId="afffffb">
    <w:basedOn w:val="TableNormal1"/>
    <w:tblPr>
      <w:tblStyleRowBandSize w:val="1"/>
      <w:tblStyleColBandSize w:val="1"/>
      <w:tblCellMar>
        <w:left w:w="115" w:type="dxa"/>
        <w:right w:w="115" w:type="dxa"/>
      </w:tblCellMar>
    </w:tblPr>
  </w:style>
  <w:style w:type="table" w:customStyle="1" w:styleId="afffffc">
    <w:basedOn w:val="TableNormal1"/>
    <w:tblPr>
      <w:tblStyleRowBandSize w:val="1"/>
      <w:tblStyleColBandSize w:val="1"/>
      <w:tblCellMar>
        <w:left w:w="115" w:type="dxa"/>
        <w:right w:w="115" w:type="dxa"/>
      </w:tblCellMar>
    </w:tblPr>
  </w:style>
  <w:style w:type="character" w:styleId="afffffd">
    <w:name w:val="annotation reference"/>
    <w:basedOn w:val="a0"/>
    <w:uiPriority w:val="99"/>
    <w:semiHidden/>
    <w:unhideWhenUsed/>
    <w:rsid w:val="005E3319"/>
    <w:rPr>
      <w:sz w:val="18"/>
      <w:szCs w:val="18"/>
    </w:rPr>
  </w:style>
  <w:style w:type="paragraph" w:styleId="afffffe">
    <w:name w:val="annotation text"/>
    <w:basedOn w:val="a"/>
    <w:link w:val="affffff"/>
    <w:uiPriority w:val="99"/>
    <w:semiHidden/>
    <w:unhideWhenUsed/>
    <w:rsid w:val="005E3319"/>
  </w:style>
  <w:style w:type="character" w:customStyle="1" w:styleId="affffff">
    <w:name w:val="コメント文字列 (文字)"/>
    <w:basedOn w:val="a0"/>
    <w:link w:val="afffffe"/>
    <w:uiPriority w:val="99"/>
    <w:semiHidden/>
    <w:rsid w:val="005E3319"/>
    <w:rPr>
      <w:lang w:eastAsia="en-US"/>
    </w:rPr>
  </w:style>
  <w:style w:type="paragraph" w:styleId="affffff0">
    <w:name w:val="annotation subject"/>
    <w:basedOn w:val="afffffe"/>
    <w:next w:val="afffffe"/>
    <w:link w:val="affffff1"/>
    <w:uiPriority w:val="99"/>
    <w:semiHidden/>
    <w:unhideWhenUsed/>
    <w:rsid w:val="005E3319"/>
    <w:rPr>
      <w:b/>
      <w:bCs/>
    </w:rPr>
  </w:style>
  <w:style w:type="character" w:customStyle="1" w:styleId="affffff1">
    <w:name w:val="コメント内容 (文字)"/>
    <w:basedOn w:val="affffff"/>
    <w:link w:val="affffff0"/>
    <w:uiPriority w:val="99"/>
    <w:semiHidden/>
    <w:rsid w:val="005E3319"/>
    <w:rPr>
      <w:b/>
      <w:bCs/>
      <w:lang w:eastAsia="en-US"/>
    </w:rPr>
  </w:style>
  <w:style w:type="paragraph" w:styleId="affffff2">
    <w:name w:val="Revision"/>
    <w:hidden/>
    <w:uiPriority w:val="99"/>
    <w:semiHidden/>
    <w:rsid w:val="005C0374"/>
    <w:rPr>
      <w:lang w:eastAsia="en-US"/>
    </w:rPr>
  </w:style>
  <w:style w:type="paragraph" w:styleId="affffff3">
    <w:name w:val="Balloon Text"/>
    <w:basedOn w:val="a"/>
    <w:link w:val="affffff4"/>
    <w:uiPriority w:val="99"/>
    <w:semiHidden/>
    <w:unhideWhenUsed/>
    <w:rsid w:val="005C0374"/>
    <w:rPr>
      <w:rFonts w:asciiTheme="majorHAnsi" w:eastAsiaTheme="majorEastAsia" w:hAnsiTheme="majorHAnsi" w:cstheme="majorBidi"/>
      <w:sz w:val="18"/>
      <w:szCs w:val="18"/>
    </w:rPr>
  </w:style>
  <w:style w:type="character" w:customStyle="1" w:styleId="affffff4">
    <w:name w:val="吹き出し (文字)"/>
    <w:basedOn w:val="a0"/>
    <w:link w:val="affffff3"/>
    <w:uiPriority w:val="99"/>
    <w:semiHidden/>
    <w:rsid w:val="005C0374"/>
    <w:rPr>
      <w:rFonts w:asciiTheme="majorHAnsi" w:eastAsiaTheme="majorEastAsia" w:hAnsiTheme="majorHAnsi" w:cstheme="majorBidi"/>
      <w:sz w:val="18"/>
      <w:szCs w:val="18"/>
      <w:lang w:eastAsia="en-US"/>
    </w:rPr>
  </w:style>
  <w:style w:type="paragraph" w:styleId="affffff5">
    <w:name w:val="header"/>
    <w:basedOn w:val="a"/>
    <w:link w:val="affffff6"/>
    <w:uiPriority w:val="99"/>
    <w:unhideWhenUsed/>
    <w:rsid w:val="00F92154"/>
    <w:pPr>
      <w:tabs>
        <w:tab w:val="center" w:pos="4252"/>
        <w:tab w:val="right" w:pos="8504"/>
      </w:tabs>
      <w:snapToGrid w:val="0"/>
    </w:pPr>
  </w:style>
  <w:style w:type="character" w:customStyle="1" w:styleId="affffff6">
    <w:name w:val="ヘッダー (文字)"/>
    <w:basedOn w:val="a0"/>
    <w:link w:val="affffff5"/>
    <w:uiPriority w:val="99"/>
    <w:rsid w:val="00F92154"/>
    <w:rPr>
      <w:lang w:eastAsia="en-US"/>
    </w:rPr>
  </w:style>
  <w:style w:type="paragraph" w:styleId="affffff7">
    <w:name w:val="footer"/>
    <w:basedOn w:val="a"/>
    <w:link w:val="affffff8"/>
    <w:uiPriority w:val="99"/>
    <w:unhideWhenUsed/>
    <w:rsid w:val="00F92154"/>
    <w:pPr>
      <w:tabs>
        <w:tab w:val="center" w:pos="4252"/>
        <w:tab w:val="right" w:pos="8504"/>
      </w:tabs>
      <w:snapToGrid w:val="0"/>
    </w:pPr>
  </w:style>
  <w:style w:type="character" w:customStyle="1" w:styleId="affffff8">
    <w:name w:val="フッター (文字)"/>
    <w:basedOn w:val="a0"/>
    <w:link w:val="affffff7"/>
    <w:uiPriority w:val="99"/>
    <w:rsid w:val="00F92154"/>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63548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テーマ">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テーマ">
      <a:majorFont>
        <a:latin typeface="Helvetica Neue"/>
        <a:ea typeface="ＭＳ ゴシック"/>
        <a:cs typeface="Helvetica Neue"/>
      </a:majorFont>
      <a:minorFont>
        <a:latin typeface="Helvetica Neue"/>
        <a:ea typeface="ＭＳ 明朝"/>
        <a:cs typeface="Helvetica Neue"/>
      </a:minorFont>
    </a:fontScheme>
    <a:fmtScheme name="Office テーマ">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A5LO1tPJl5huAprGTSZQ9W0Eszw==">AMUW2mU6+JXLOONEL0p5quCGjSENFM8o9NespiLOUWTDIEkrd0adKDgsk+aRbkxKCqliQeJZre6KbmAIp1t05gxskBsKadNqV5IS069v9YFCOS0kxJ3uswp84PhlbDo8y3Hh/dDwVzd0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164</Words>
  <Characters>937</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2022-11-08T11:24:00Z</dcterms:created>
  <dcterms:modified xsi:type="dcterms:W3CDTF">2022-11-08T11:24:00Z</dcterms:modified>
</cp:coreProperties>
</file>