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1E887"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rFonts w:eastAsia="Times New Roman"/>
          <w:color w:val="000000"/>
        </w:rPr>
      </w:pPr>
      <w:r>
        <w:rPr>
          <w:rFonts w:eastAsia="Times New Roman"/>
          <w:color w:val="000000"/>
        </w:rPr>
        <w:t>Hotokusan Inari Taisha Shrine</w:t>
      </w:r>
    </w:p>
    <w:p w14:paraId="22F2734A"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4A3D9541"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This commanding shrine is visible from a distance as visitors approach its hillside location outside the city center of Nagaoka. The black gabled roofs and vermillion-and-white features tower above the forest.</w:t>
      </w:r>
    </w:p>
    <w:p w14:paraId="3793C15F"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3A6E1C6C"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Hotokusan Inari Taisha is built primarily from concrete as opposed to wood, which is more common in shrines of this type. The concrete protects the shrine against earthquakes and also the harsh winter conditions in this part of Japan.</w:t>
      </w:r>
    </w:p>
    <w:p w14:paraId="2D453CF1"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543FBDFE"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The shrine has two complexes. The lower complex is the larger of the two and is situated about halfway up the hillside. A second, slightly smaller complex sits at the top of the hill, but it is only used twice a year for local festivals. The shrine holds a night festival called Yomatsuri each year, using between fifty and sixty thousand red candles for its main ritual.</w:t>
      </w:r>
    </w:p>
    <w:p w14:paraId="2C68AE50"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46F40243"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Next to the hilltop complex there is a small stone shrine. This is the oldest remaining part of Hotokusan Inari Taisha. The exact age of this stone shrine is unknown, as it predates the earliest site records from around 1,500 years ago. Some have speculated that it could date from the late Jomon period, which ended in 900 BCE, but this is not yet corroborated.</w:t>
      </w:r>
    </w:p>
    <w:p w14:paraId="1A079DF5"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31437CC6"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Downhill, at the entrance to the main shrine building, visitors from late June to early July will notice a large, ring-shaped gateway fashioned out of tightly bound rope. To enter the shrine building properly, a person should move in through the ring, then out and back in again in a “figure 8” motion. An illustrated guide next to the entrance shows how to do this. Remember to take off your shoes when entering the building. </w:t>
      </w:r>
    </w:p>
    <w:p w14:paraId="05167753"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49EC51E4"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Once inside, visitors are encouraged to follow the shrine’s special prayer ritual to bring blessings and good fortune upon themselves and their loved ones. The ritual involves lighting two sets of colored candles and placing them on two different altars in the correct order.</w:t>
      </w:r>
    </w:p>
    <w:p w14:paraId="0A0E6E26"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66A464DF"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From left to right, the color order is green, red, yellow, white, purple. Each candle is said to affect a different part of one’s daily life.</w:t>
      </w:r>
    </w:p>
    <w:p w14:paraId="4BBE9A46"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6A315268"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Green is associated with health and well-being, as well as success in academic studies. </w:t>
      </w:r>
    </w:p>
    <w:p w14:paraId="01335DF7"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2AA87BB6"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Red brings financial success, both in terms of running a business and having luck with money in general.</w:t>
      </w:r>
    </w:p>
    <w:p w14:paraId="1C9ECAB0"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12D2918D"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Yellow offers protection against natural disasters, such as earthquakes, storms, and floods.</w:t>
      </w:r>
    </w:p>
    <w:p w14:paraId="3326949E"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6A20510B"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White guards the home, ensuring it stays healthy and happy. </w:t>
      </w:r>
    </w:p>
    <w:p w14:paraId="74D1FACE"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368FB742"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Finally, but perhaps most importantly in this context, purple safeguards spiritual health. </w:t>
      </w:r>
    </w:p>
    <w:p w14:paraId="427633B8"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4BAB0464"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Begin by approaching the first altar. Light your green candle and place it on the left-hand side. You can follow the example of others to place it in the correct spot.</w:t>
      </w:r>
    </w:p>
    <w:p w14:paraId="7AD45567"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3EDD51E5"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Next, take your red candle and light it using the flame from your green candle. Place it to the immediate right of that candle.</w:t>
      </w:r>
    </w:p>
    <w:p w14:paraId="4B9B933C"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2A6C44DB"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Repeat this process for your yellow, white, and purple candles, until all are lit and sit upon the altar in a row from left to right. </w:t>
      </w:r>
    </w:p>
    <w:p w14:paraId="169A5A28"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3A8166C8"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Next, make a bow, clap your hands twice, and hold them together after the second clap. Offer a silent prayer. Take one step back, bow deeply, and move on to the second altar to repeat the process. </w:t>
      </w:r>
    </w:p>
    <w:p w14:paraId="1150CD9E"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63ECDA66"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This ritual is unique to Hotokusan Inari Taisha and is therefore an essential part of the experience when visiting. Those who do not wish to perform the ritual may observe the various distinctive features of the shrine. </w:t>
      </w:r>
    </w:p>
    <w:p w14:paraId="10835725"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19B2E2FC"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Inside the main building is a gold-adorned shrine and altar to the “God of Commerce.” Visiting shrines like this one is a tradition for those about to set up a new business or embark on a large-scale financial commitment, such as buying a house, getting married, or starting a family. Here, people seek good fortune and blessings from the gods to ensure prosperity in their ventures.</w:t>
      </w:r>
    </w:p>
    <w:p w14:paraId="7EBAAE64"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5AC13228"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Priests conduct services at designated times throughout the day. These are open to observation. </w:t>
      </w:r>
    </w:p>
    <w:p w14:paraId="40ADFDE0"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6DF14FF1"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 xml:space="preserve">Hotokusan Inari Taisha is located 25 minutes from Nagaoka Station by car. If traveling by train, take the Shinetsu Line from Nagaoka Station for 16 minutes and get off at Echigo-Iwatsuka Station. The shrine is a 10-minute walk from there. </w:t>
      </w:r>
    </w:p>
    <w:p w14:paraId="5D94BB06"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p>
    <w:p w14:paraId="2DD7B35E" w14:textId="77777777" w:rsidR="003407FD" w:rsidRDefault="003407FD" w:rsidP="003407FD">
      <w:pPr>
        <w:widowControl w:val="0"/>
        <w:tabs>
          <w:tab w:val="left" w:pos="706"/>
          <w:tab w:val="left" w:pos="1412"/>
          <w:tab w:val="left" w:pos="2118"/>
          <w:tab w:val="left" w:pos="2824"/>
          <w:tab w:val="left" w:pos="3530"/>
          <w:tab w:val="left" w:pos="4236"/>
          <w:tab w:val="left" w:pos="4942"/>
          <w:tab w:val="left" w:pos="5648"/>
          <w:tab w:val="left" w:pos="6354"/>
          <w:tab w:val="left" w:pos="7060"/>
          <w:tab w:val="left" w:pos="7766"/>
          <w:tab w:val="left" w:pos="7998"/>
        </w:tabs>
        <w:rPr>
          <w:color w:val="000000"/>
        </w:rPr>
      </w:pPr>
      <w:r>
        <w:rPr>
          <w:rFonts w:eastAsia="Times New Roman"/>
          <w:color w:val="000000"/>
        </w:rPr>
        <w:t>Entry to the shrine is free. However, you are welcome to make a donation to the upkeep and maintenance of the shrine by purchasing one of the many good-luck charms on sale.</w:t>
      </w:r>
    </w:p>
    <w:p w14:paraId="0A30A9B2" w14:textId="77777777" w:rsidR="000E21EC" w:rsidRPr="003407FD" w:rsidRDefault="000E21EC" w:rsidP="003407FD"/>
    <w:sectPr w:rsidR="000E21EC" w:rsidRPr="003407FD">
      <w:headerReference w:type="default" r:id="rId8"/>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FE13E" w14:textId="77777777" w:rsidR="00563F1D" w:rsidRDefault="00563F1D">
      <w:r>
        <w:separator/>
      </w:r>
    </w:p>
  </w:endnote>
  <w:endnote w:type="continuationSeparator" w:id="0">
    <w:p w14:paraId="6E08ABEC" w14:textId="77777777" w:rsidR="00563F1D" w:rsidRDefault="0056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Arial"/>
    <w:charset w:val="00"/>
    <w:family w:val="auto"/>
    <w:pitch w:val="default"/>
  </w:font>
  <w:font w:name="Arial Unicode MS">
    <w:panose1 w:val="020B0604020202020204"/>
    <w:charset w:val="80"/>
    <w:family w:val="modern"/>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458F5" w14:textId="77777777" w:rsidR="00563F1D" w:rsidRDefault="00563F1D">
      <w:r>
        <w:separator/>
      </w:r>
    </w:p>
  </w:footnote>
  <w:footnote w:type="continuationSeparator" w:id="0">
    <w:p w14:paraId="24642F5D" w14:textId="77777777" w:rsidR="00563F1D" w:rsidRDefault="0056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2E814" w14:textId="77777777" w:rsidR="005C0374" w:rsidRDefault="005C0374">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8875A0"/>
    <w:multiLevelType w:val="multilevel"/>
    <w:tmpl w:val="868A01B6"/>
    <w:lvl w:ilvl="0">
      <w:start w:val="1"/>
      <w:numFmt w:val="decimal"/>
      <w:lvlText w:val="%1)"/>
      <w:lvlJc w:val="left"/>
      <w:pPr>
        <w:ind w:left="480" w:hanging="72"/>
      </w:pPr>
      <w:rPr>
        <w:smallCaps w:val="0"/>
        <w:strike w:val="0"/>
        <w:shd w:val="clear" w:color="auto" w:fill="auto"/>
        <w:vertAlign w:val="baseline"/>
      </w:rPr>
    </w:lvl>
    <w:lvl w:ilvl="1">
      <w:start w:val="1"/>
      <w:numFmt w:val="decimal"/>
      <w:lvlText w:val="%2."/>
      <w:lvlJc w:val="left"/>
      <w:pPr>
        <w:ind w:left="720" w:hanging="192"/>
      </w:pPr>
      <w:rPr>
        <w:smallCaps w:val="0"/>
        <w:strike w:val="0"/>
        <w:shd w:val="clear" w:color="auto" w:fill="auto"/>
        <w:vertAlign w:val="baseline"/>
      </w:rPr>
    </w:lvl>
    <w:lvl w:ilvl="2">
      <w:start w:val="1"/>
      <w:numFmt w:val="decimal"/>
      <w:lvlText w:val="%2.%3."/>
      <w:lvlJc w:val="left"/>
      <w:pPr>
        <w:ind w:left="1269" w:firstLine="120"/>
      </w:pPr>
      <w:rPr>
        <w:smallCaps w:val="0"/>
        <w:strike w:val="0"/>
        <w:shd w:val="clear" w:color="auto" w:fill="auto"/>
        <w:vertAlign w:val="baseline"/>
      </w:rPr>
    </w:lvl>
    <w:lvl w:ilvl="3">
      <w:start w:val="1"/>
      <w:numFmt w:val="decimal"/>
      <w:lvlText w:val="%2.%3.%4."/>
      <w:lvlJc w:val="left"/>
      <w:pPr>
        <w:ind w:left="1400" w:firstLine="120"/>
      </w:pPr>
      <w:rPr>
        <w:smallCaps w:val="0"/>
        <w:strike w:val="0"/>
        <w:shd w:val="clear" w:color="auto" w:fill="auto"/>
        <w:vertAlign w:val="baseline"/>
      </w:rPr>
    </w:lvl>
    <w:lvl w:ilvl="4">
      <w:start w:val="1"/>
      <w:numFmt w:val="decimal"/>
      <w:lvlText w:val="%2.%3.%4.%5."/>
      <w:lvlJc w:val="left"/>
      <w:pPr>
        <w:ind w:left="2006" w:hanging="312"/>
      </w:pPr>
      <w:rPr>
        <w:smallCaps w:val="0"/>
        <w:strike w:val="0"/>
        <w:shd w:val="clear" w:color="auto" w:fill="auto"/>
        <w:vertAlign w:val="baseline"/>
      </w:rPr>
    </w:lvl>
    <w:lvl w:ilvl="5">
      <w:start w:val="1"/>
      <w:numFmt w:val="decimal"/>
      <w:lvlText w:val="%2.%3.%4.%5.%6."/>
      <w:lvlJc w:val="left"/>
      <w:pPr>
        <w:ind w:left="2037" w:firstLine="120"/>
      </w:pPr>
      <w:rPr>
        <w:smallCaps w:val="0"/>
        <w:strike w:val="0"/>
        <w:shd w:val="clear" w:color="auto" w:fill="auto"/>
        <w:vertAlign w:val="baseline"/>
      </w:rPr>
    </w:lvl>
    <w:lvl w:ilvl="6">
      <w:start w:val="1"/>
      <w:numFmt w:val="decimal"/>
      <w:lvlText w:val="%2.%3.%4.%5.%6.%7."/>
      <w:lvlJc w:val="left"/>
      <w:pPr>
        <w:ind w:left="2743" w:firstLine="120"/>
      </w:pPr>
      <w:rPr>
        <w:smallCaps w:val="0"/>
        <w:strike w:val="0"/>
        <w:shd w:val="clear" w:color="auto" w:fill="auto"/>
        <w:vertAlign w:val="baseline"/>
      </w:rPr>
    </w:lvl>
    <w:lvl w:ilvl="7">
      <w:start w:val="1"/>
      <w:numFmt w:val="decimal"/>
      <w:lvlText w:val="%2.%3.%4.%5.%6.%7.%8."/>
      <w:lvlJc w:val="left"/>
      <w:pPr>
        <w:ind w:left="3051" w:firstLine="120"/>
      </w:pPr>
      <w:rPr>
        <w:smallCaps w:val="0"/>
        <w:strike w:val="0"/>
        <w:shd w:val="clear" w:color="auto" w:fill="auto"/>
        <w:vertAlign w:val="baseline"/>
      </w:rPr>
    </w:lvl>
    <w:lvl w:ilvl="8">
      <w:start w:val="1"/>
      <w:numFmt w:val="decimal"/>
      <w:lvlText w:val="%2.%3.%4.%5.%6.%7.%8.%9."/>
      <w:lvlJc w:val="left"/>
      <w:pPr>
        <w:ind w:left="3480" w:firstLine="120"/>
      </w:pPr>
      <w:rPr>
        <w:smallCaps w:val="0"/>
        <w:strike w:val="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21EC"/>
    <w:rsid w:val="000C71F7"/>
    <w:rsid w:val="000E21EC"/>
    <w:rsid w:val="00110707"/>
    <w:rsid w:val="001E3AAC"/>
    <w:rsid w:val="002F0B34"/>
    <w:rsid w:val="0033265E"/>
    <w:rsid w:val="003407FD"/>
    <w:rsid w:val="003A039D"/>
    <w:rsid w:val="004E11B7"/>
    <w:rsid w:val="00516E69"/>
    <w:rsid w:val="00563F1D"/>
    <w:rsid w:val="005A074A"/>
    <w:rsid w:val="005C0374"/>
    <w:rsid w:val="005E3319"/>
    <w:rsid w:val="006633D1"/>
    <w:rsid w:val="00764022"/>
    <w:rsid w:val="008F5F66"/>
    <w:rsid w:val="00A15856"/>
    <w:rsid w:val="00C30E1E"/>
    <w:rsid w:val="00C32E43"/>
    <w:rsid w:val="00C54E83"/>
    <w:rsid w:val="00D0078A"/>
    <w:rsid w:val="00EC1C0C"/>
    <w:rsid w:val="00F921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E85E0D5"/>
  <w15:docId w15:val="{D79D2832-7FD9-4869-BD06-159B51DFD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eastAsia="en-US"/>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styleId="a4">
    <w:name w:val="Hyperlink"/>
    <w:rPr>
      <w:u w:val="single"/>
    </w:rPr>
  </w:style>
  <w:style w:type="table" w:customStyle="1" w:styleId="TableNormal2">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customStyle="1" w:styleId="BodyA">
    <w:name w:val="Body A"/>
    <w:rPr>
      <w:rFonts w:eastAsia="Arial Unicode MS" w:cs="Arial Unicode MS"/>
      <w:color w:val="000000"/>
      <w:u w:color="000000"/>
      <w:lang w:val="de-DE"/>
      <w14:textOutline w14:w="12700" w14:cap="flat" w14:cmpd="sng" w14:algn="ctr">
        <w14:noFill/>
        <w14:prstDash w14:val="solid"/>
        <w14:miter w14:lim="400000"/>
      </w14:textOutline>
    </w:rPr>
  </w:style>
  <w:style w:type="paragraph" w:customStyle="1" w:styleId="Default">
    <w:name w:val="Default"/>
    <w:pPr>
      <w:spacing w:before="160"/>
    </w:pPr>
    <w:rPr>
      <w:rFonts w:ascii="Helvetica Neue" w:eastAsia="Helvetica Neue" w:hAnsi="Helvetica Neue" w:cs="Helvetica Neue"/>
      <w:color w:val="000000"/>
      <w:u w:color="000000"/>
      <w14:textOutline w14:w="12700" w14:cap="flat" w14:cmpd="sng" w14:algn="ctr">
        <w14:noFill/>
        <w14:prstDash w14:val="solid"/>
        <w14:miter w14:lim="400000"/>
      </w14:textOutline>
    </w:rPr>
  </w:style>
  <w:style w:type="numbering" w:customStyle="1" w:styleId="ImportedStyle1">
    <w:name w:val="Imported Style 1"/>
  </w:style>
  <w:style w:type="paragraph" w:styleId="a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6">
    <w:basedOn w:val="TableNormal1"/>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1"/>
    <w:tblPr>
      <w:tblStyleRowBandSize w:val="1"/>
      <w:tblStyleColBandSize w:val="1"/>
      <w:tblCellMar>
        <w:left w:w="115" w:type="dxa"/>
        <w:right w:w="115" w:type="dxa"/>
      </w:tblCellMar>
    </w:tblPr>
  </w:style>
  <w:style w:type="table" w:customStyle="1" w:styleId="aa">
    <w:basedOn w:val="TableNormal1"/>
    <w:tblPr>
      <w:tblStyleRowBandSize w:val="1"/>
      <w:tblStyleColBandSize w:val="1"/>
      <w:tblCellMar>
        <w:left w:w="115" w:type="dxa"/>
        <w:right w:w="115" w:type="dxa"/>
      </w:tblCellMar>
    </w:tblPr>
  </w:style>
  <w:style w:type="table" w:customStyle="1" w:styleId="ab">
    <w:basedOn w:val="TableNormal1"/>
    <w:tblPr>
      <w:tblStyleRowBandSize w:val="1"/>
      <w:tblStyleColBandSize w:val="1"/>
      <w:tblCellMar>
        <w:left w:w="115" w:type="dxa"/>
        <w:right w:w="115" w:type="dxa"/>
      </w:tblCellMar>
    </w:tblPr>
  </w:style>
  <w:style w:type="table" w:customStyle="1" w:styleId="ac">
    <w:basedOn w:val="TableNormal1"/>
    <w:tblPr>
      <w:tblStyleRowBandSize w:val="1"/>
      <w:tblStyleColBandSize w:val="1"/>
      <w:tblCellMar>
        <w:left w:w="115" w:type="dxa"/>
        <w:right w:w="115" w:type="dxa"/>
      </w:tblCellMar>
    </w:tblPr>
  </w:style>
  <w:style w:type="table" w:customStyle="1" w:styleId="ad">
    <w:basedOn w:val="TableNormal1"/>
    <w:tblPr>
      <w:tblStyleRowBandSize w:val="1"/>
      <w:tblStyleColBandSize w:val="1"/>
      <w:tblCellMar>
        <w:left w:w="115" w:type="dxa"/>
        <w:right w:w="115" w:type="dxa"/>
      </w:tblCellMar>
    </w:tblPr>
  </w:style>
  <w:style w:type="table" w:customStyle="1" w:styleId="ae">
    <w:basedOn w:val="TableNormal1"/>
    <w:tblPr>
      <w:tblStyleRowBandSize w:val="1"/>
      <w:tblStyleColBandSize w:val="1"/>
      <w:tblCellMar>
        <w:left w:w="115" w:type="dxa"/>
        <w:right w:w="115" w:type="dxa"/>
      </w:tblCellMar>
    </w:tblPr>
  </w:style>
  <w:style w:type="table" w:customStyle="1" w:styleId="af">
    <w:basedOn w:val="TableNormal1"/>
    <w:tblPr>
      <w:tblStyleRowBandSize w:val="1"/>
      <w:tblStyleColBandSize w:val="1"/>
      <w:tblCellMar>
        <w:left w:w="115" w:type="dxa"/>
        <w:right w:w="115" w:type="dxa"/>
      </w:tblCellMar>
    </w:tblPr>
  </w:style>
  <w:style w:type="table" w:customStyle="1" w:styleId="af0">
    <w:basedOn w:val="TableNormal1"/>
    <w:tblPr>
      <w:tblStyleRowBandSize w:val="1"/>
      <w:tblStyleColBandSize w:val="1"/>
      <w:tblCellMar>
        <w:left w:w="115" w:type="dxa"/>
        <w:right w:w="115" w:type="dxa"/>
      </w:tblCellMar>
    </w:tblPr>
  </w:style>
  <w:style w:type="table" w:customStyle="1" w:styleId="af1">
    <w:basedOn w:val="TableNormal1"/>
    <w:tblPr>
      <w:tblStyleRowBandSize w:val="1"/>
      <w:tblStyleColBandSize w:val="1"/>
      <w:tblCellMar>
        <w:left w:w="115" w:type="dxa"/>
        <w:right w:w="115" w:type="dxa"/>
      </w:tblCellMar>
    </w:tblPr>
  </w:style>
  <w:style w:type="table" w:customStyle="1" w:styleId="af2">
    <w:basedOn w:val="TableNormal1"/>
    <w:tblPr>
      <w:tblStyleRowBandSize w:val="1"/>
      <w:tblStyleColBandSize w:val="1"/>
      <w:tblCellMar>
        <w:left w:w="115" w:type="dxa"/>
        <w:right w:w="115" w:type="dxa"/>
      </w:tblCellMar>
    </w:tblPr>
  </w:style>
  <w:style w:type="table" w:customStyle="1" w:styleId="af3">
    <w:basedOn w:val="TableNormal1"/>
    <w:tblPr>
      <w:tblStyleRowBandSize w:val="1"/>
      <w:tblStyleColBandSize w:val="1"/>
      <w:tblCellMar>
        <w:left w:w="115" w:type="dxa"/>
        <w:right w:w="115" w:type="dxa"/>
      </w:tblCellMar>
    </w:tblPr>
  </w:style>
  <w:style w:type="table" w:customStyle="1" w:styleId="af4">
    <w:basedOn w:val="TableNormal1"/>
    <w:tblPr>
      <w:tblStyleRowBandSize w:val="1"/>
      <w:tblStyleColBandSize w:val="1"/>
      <w:tblCellMar>
        <w:left w:w="115" w:type="dxa"/>
        <w:right w:w="115" w:type="dxa"/>
      </w:tblCellMar>
    </w:tblPr>
  </w:style>
  <w:style w:type="table" w:customStyle="1" w:styleId="af5">
    <w:basedOn w:val="TableNormal1"/>
    <w:tblPr>
      <w:tblStyleRowBandSize w:val="1"/>
      <w:tblStyleColBandSize w:val="1"/>
      <w:tblCellMar>
        <w:left w:w="115" w:type="dxa"/>
        <w:right w:w="115" w:type="dxa"/>
      </w:tblCellMar>
    </w:tblPr>
  </w:style>
  <w:style w:type="table" w:customStyle="1" w:styleId="af6">
    <w:basedOn w:val="TableNormal1"/>
    <w:tblPr>
      <w:tblStyleRowBandSize w:val="1"/>
      <w:tblStyleColBandSize w:val="1"/>
      <w:tblCellMar>
        <w:left w:w="115" w:type="dxa"/>
        <w:right w:w="115" w:type="dxa"/>
      </w:tblCellMar>
    </w:tblPr>
  </w:style>
  <w:style w:type="table" w:customStyle="1" w:styleId="af7">
    <w:basedOn w:val="TableNormal1"/>
    <w:tblPr>
      <w:tblStyleRowBandSize w:val="1"/>
      <w:tblStyleColBandSize w:val="1"/>
      <w:tblCellMar>
        <w:left w:w="115" w:type="dxa"/>
        <w:right w:w="115" w:type="dxa"/>
      </w:tblCellMar>
    </w:tblPr>
  </w:style>
  <w:style w:type="table" w:customStyle="1" w:styleId="af8">
    <w:basedOn w:val="TableNormal1"/>
    <w:tblPr>
      <w:tblStyleRowBandSize w:val="1"/>
      <w:tblStyleColBandSize w:val="1"/>
      <w:tblCellMar>
        <w:left w:w="115" w:type="dxa"/>
        <w:right w:w="115" w:type="dxa"/>
      </w:tblCellMar>
    </w:tblPr>
  </w:style>
  <w:style w:type="table" w:customStyle="1" w:styleId="af9">
    <w:basedOn w:val="TableNormal1"/>
    <w:tblPr>
      <w:tblStyleRowBandSize w:val="1"/>
      <w:tblStyleColBandSize w:val="1"/>
      <w:tblCellMar>
        <w:left w:w="115" w:type="dxa"/>
        <w:right w:w="115" w:type="dxa"/>
      </w:tblCellMar>
    </w:tblPr>
  </w:style>
  <w:style w:type="table" w:customStyle="1" w:styleId="afa">
    <w:basedOn w:val="TableNormal1"/>
    <w:tblPr>
      <w:tblStyleRowBandSize w:val="1"/>
      <w:tblStyleColBandSize w:val="1"/>
      <w:tblCellMar>
        <w:left w:w="115" w:type="dxa"/>
        <w:right w:w="115" w:type="dxa"/>
      </w:tblCellMar>
    </w:tblPr>
  </w:style>
  <w:style w:type="table" w:customStyle="1" w:styleId="afb">
    <w:basedOn w:val="TableNormal1"/>
    <w:tblPr>
      <w:tblStyleRowBandSize w:val="1"/>
      <w:tblStyleColBandSize w:val="1"/>
      <w:tblCellMar>
        <w:left w:w="115" w:type="dxa"/>
        <w:right w:w="115" w:type="dxa"/>
      </w:tblCellMar>
    </w:tblPr>
  </w:style>
  <w:style w:type="table" w:customStyle="1" w:styleId="afc">
    <w:basedOn w:val="TableNormal1"/>
    <w:tblPr>
      <w:tblStyleRowBandSize w:val="1"/>
      <w:tblStyleColBandSize w:val="1"/>
      <w:tblCellMar>
        <w:left w:w="115" w:type="dxa"/>
        <w:right w:w="115" w:type="dxa"/>
      </w:tblCellMar>
    </w:tblPr>
  </w:style>
  <w:style w:type="table" w:customStyle="1" w:styleId="afd">
    <w:basedOn w:val="TableNormal1"/>
    <w:tblPr>
      <w:tblStyleRowBandSize w:val="1"/>
      <w:tblStyleColBandSize w:val="1"/>
      <w:tblCellMar>
        <w:left w:w="115" w:type="dxa"/>
        <w:right w:w="115" w:type="dxa"/>
      </w:tblCellMar>
    </w:tblPr>
  </w:style>
  <w:style w:type="table" w:customStyle="1" w:styleId="afe">
    <w:basedOn w:val="TableNormal1"/>
    <w:tblPr>
      <w:tblStyleRowBandSize w:val="1"/>
      <w:tblStyleColBandSize w:val="1"/>
      <w:tblCellMar>
        <w:left w:w="115" w:type="dxa"/>
        <w:right w:w="115" w:type="dxa"/>
      </w:tblCellMar>
    </w:tblPr>
  </w:style>
  <w:style w:type="table" w:customStyle="1" w:styleId="aff">
    <w:basedOn w:val="TableNormal1"/>
    <w:tblPr>
      <w:tblStyleRowBandSize w:val="1"/>
      <w:tblStyleColBandSize w:val="1"/>
      <w:tblCellMar>
        <w:left w:w="115" w:type="dxa"/>
        <w:right w:w="115" w:type="dxa"/>
      </w:tblCellMar>
    </w:tblPr>
  </w:style>
  <w:style w:type="table" w:customStyle="1" w:styleId="aff0">
    <w:basedOn w:val="TableNormal1"/>
    <w:tblPr>
      <w:tblStyleRowBandSize w:val="1"/>
      <w:tblStyleColBandSize w:val="1"/>
      <w:tblCellMar>
        <w:left w:w="115" w:type="dxa"/>
        <w:right w:w="115" w:type="dxa"/>
      </w:tblCellMar>
    </w:tblPr>
  </w:style>
  <w:style w:type="table" w:customStyle="1" w:styleId="aff1">
    <w:basedOn w:val="TableNormal1"/>
    <w:tblPr>
      <w:tblStyleRowBandSize w:val="1"/>
      <w:tblStyleColBandSize w:val="1"/>
      <w:tblCellMar>
        <w:left w:w="115" w:type="dxa"/>
        <w:right w:w="115" w:type="dxa"/>
      </w:tblCellMar>
    </w:tblPr>
  </w:style>
  <w:style w:type="table" w:customStyle="1" w:styleId="aff2">
    <w:basedOn w:val="TableNormal1"/>
    <w:tblPr>
      <w:tblStyleRowBandSize w:val="1"/>
      <w:tblStyleColBandSize w:val="1"/>
      <w:tblCellMar>
        <w:left w:w="115" w:type="dxa"/>
        <w:right w:w="115" w:type="dxa"/>
      </w:tblCellMar>
    </w:tblPr>
  </w:style>
  <w:style w:type="table" w:customStyle="1" w:styleId="aff3">
    <w:basedOn w:val="TableNormal1"/>
    <w:tblPr>
      <w:tblStyleRowBandSize w:val="1"/>
      <w:tblStyleColBandSize w:val="1"/>
      <w:tblCellMar>
        <w:left w:w="115" w:type="dxa"/>
        <w:right w:w="115" w:type="dxa"/>
      </w:tblCellMar>
    </w:tblPr>
  </w:style>
  <w:style w:type="table" w:customStyle="1" w:styleId="aff4">
    <w:basedOn w:val="TableNormal1"/>
    <w:tblPr>
      <w:tblStyleRowBandSize w:val="1"/>
      <w:tblStyleColBandSize w:val="1"/>
      <w:tblCellMar>
        <w:left w:w="115" w:type="dxa"/>
        <w:right w:w="115" w:type="dxa"/>
      </w:tblCellMar>
    </w:tblPr>
  </w:style>
  <w:style w:type="table" w:customStyle="1" w:styleId="aff5">
    <w:basedOn w:val="TableNormal1"/>
    <w:tblPr>
      <w:tblStyleRowBandSize w:val="1"/>
      <w:tblStyleColBandSize w:val="1"/>
      <w:tblCellMar>
        <w:left w:w="115" w:type="dxa"/>
        <w:right w:w="115" w:type="dxa"/>
      </w:tblCellMar>
    </w:tblPr>
  </w:style>
  <w:style w:type="table" w:customStyle="1" w:styleId="aff6">
    <w:basedOn w:val="TableNormal1"/>
    <w:tblPr>
      <w:tblStyleRowBandSize w:val="1"/>
      <w:tblStyleColBandSize w:val="1"/>
      <w:tblCellMar>
        <w:left w:w="115" w:type="dxa"/>
        <w:right w:w="115" w:type="dxa"/>
      </w:tblCellMar>
    </w:tblPr>
  </w:style>
  <w:style w:type="table" w:customStyle="1" w:styleId="aff7">
    <w:basedOn w:val="TableNormal1"/>
    <w:tblPr>
      <w:tblStyleRowBandSize w:val="1"/>
      <w:tblStyleColBandSize w:val="1"/>
      <w:tblCellMar>
        <w:left w:w="115" w:type="dxa"/>
        <w:right w:w="115" w:type="dxa"/>
      </w:tblCellMar>
    </w:tblPr>
  </w:style>
  <w:style w:type="table" w:customStyle="1" w:styleId="aff8">
    <w:basedOn w:val="TableNormal1"/>
    <w:tblPr>
      <w:tblStyleRowBandSize w:val="1"/>
      <w:tblStyleColBandSize w:val="1"/>
      <w:tblCellMar>
        <w:left w:w="115" w:type="dxa"/>
        <w:right w:w="115" w:type="dxa"/>
      </w:tblCellMar>
    </w:tblPr>
  </w:style>
  <w:style w:type="table" w:customStyle="1" w:styleId="aff9">
    <w:basedOn w:val="TableNormal1"/>
    <w:tblPr>
      <w:tblStyleRowBandSize w:val="1"/>
      <w:tblStyleColBandSize w:val="1"/>
      <w:tblCellMar>
        <w:left w:w="115" w:type="dxa"/>
        <w:right w:w="115" w:type="dxa"/>
      </w:tblCellMar>
    </w:tblPr>
  </w:style>
  <w:style w:type="table" w:customStyle="1" w:styleId="affa">
    <w:basedOn w:val="TableNormal1"/>
    <w:tblPr>
      <w:tblStyleRowBandSize w:val="1"/>
      <w:tblStyleColBandSize w:val="1"/>
      <w:tblCellMar>
        <w:left w:w="115" w:type="dxa"/>
        <w:right w:w="115" w:type="dxa"/>
      </w:tblCellMar>
    </w:tblPr>
  </w:style>
  <w:style w:type="table" w:customStyle="1" w:styleId="affb">
    <w:basedOn w:val="TableNormal1"/>
    <w:tblPr>
      <w:tblStyleRowBandSize w:val="1"/>
      <w:tblStyleColBandSize w:val="1"/>
      <w:tblCellMar>
        <w:left w:w="115" w:type="dxa"/>
        <w:right w:w="115" w:type="dxa"/>
      </w:tblCellMar>
    </w:tblPr>
  </w:style>
  <w:style w:type="table" w:customStyle="1" w:styleId="affc">
    <w:basedOn w:val="TableNormal1"/>
    <w:tblPr>
      <w:tblStyleRowBandSize w:val="1"/>
      <w:tblStyleColBandSize w:val="1"/>
      <w:tblCellMar>
        <w:left w:w="115" w:type="dxa"/>
        <w:right w:w="115" w:type="dxa"/>
      </w:tblCellMar>
    </w:tblPr>
  </w:style>
  <w:style w:type="table" w:customStyle="1" w:styleId="affd">
    <w:basedOn w:val="TableNormal1"/>
    <w:tblPr>
      <w:tblStyleRowBandSize w:val="1"/>
      <w:tblStyleColBandSize w:val="1"/>
      <w:tblCellMar>
        <w:left w:w="115" w:type="dxa"/>
        <w:right w:w="115" w:type="dxa"/>
      </w:tblCellMar>
    </w:tblPr>
  </w:style>
  <w:style w:type="table" w:customStyle="1" w:styleId="affe">
    <w:basedOn w:val="TableNormal1"/>
    <w:tblPr>
      <w:tblStyleRowBandSize w:val="1"/>
      <w:tblStyleColBandSize w:val="1"/>
      <w:tblCellMar>
        <w:left w:w="115" w:type="dxa"/>
        <w:right w:w="115" w:type="dxa"/>
      </w:tblCellMar>
    </w:tblPr>
  </w:style>
  <w:style w:type="table" w:customStyle="1" w:styleId="afff">
    <w:basedOn w:val="TableNormal1"/>
    <w:tblPr>
      <w:tblStyleRowBandSize w:val="1"/>
      <w:tblStyleColBandSize w:val="1"/>
      <w:tblCellMar>
        <w:left w:w="115" w:type="dxa"/>
        <w:right w:w="115" w:type="dxa"/>
      </w:tblCellMar>
    </w:tblPr>
  </w:style>
  <w:style w:type="table" w:customStyle="1" w:styleId="afff0">
    <w:basedOn w:val="TableNormal1"/>
    <w:tblPr>
      <w:tblStyleRowBandSize w:val="1"/>
      <w:tblStyleColBandSize w:val="1"/>
      <w:tblCellMar>
        <w:left w:w="115" w:type="dxa"/>
        <w:right w:w="115" w:type="dxa"/>
      </w:tblCellMar>
    </w:tblPr>
  </w:style>
  <w:style w:type="table" w:customStyle="1" w:styleId="afff1">
    <w:basedOn w:val="TableNormal1"/>
    <w:tblPr>
      <w:tblStyleRowBandSize w:val="1"/>
      <w:tblStyleColBandSize w:val="1"/>
      <w:tblCellMar>
        <w:left w:w="115" w:type="dxa"/>
        <w:right w:w="115" w:type="dxa"/>
      </w:tblCellMar>
    </w:tblPr>
  </w:style>
  <w:style w:type="table" w:customStyle="1" w:styleId="afff2">
    <w:basedOn w:val="TableNormal1"/>
    <w:tblPr>
      <w:tblStyleRowBandSize w:val="1"/>
      <w:tblStyleColBandSize w:val="1"/>
      <w:tblCellMar>
        <w:left w:w="115" w:type="dxa"/>
        <w:right w:w="115" w:type="dxa"/>
      </w:tblCellMar>
    </w:tblPr>
  </w:style>
  <w:style w:type="table" w:customStyle="1" w:styleId="afff3">
    <w:basedOn w:val="TableNormal1"/>
    <w:tblPr>
      <w:tblStyleRowBandSize w:val="1"/>
      <w:tblStyleColBandSize w:val="1"/>
      <w:tblCellMar>
        <w:left w:w="115" w:type="dxa"/>
        <w:right w:w="115" w:type="dxa"/>
      </w:tblCellMar>
    </w:tblPr>
  </w:style>
  <w:style w:type="table" w:customStyle="1" w:styleId="afff4">
    <w:basedOn w:val="TableNormal1"/>
    <w:tblPr>
      <w:tblStyleRowBandSize w:val="1"/>
      <w:tblStyleColBandSize w:val="1"/>
      <w:tblCellMar>
        <w:left w:w="115" w:type="dxa"/>
        <w:right w:w="115" w:type="dxa"/>
      </w:tblCellMar>
    </w:tbl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left w:w="115" w:type="dxa"/>
        <w:right w:w="115" w:type="dxa"/>
      </w:tblCellMar>
    </w:tblPr>
  </w:style>
  <w:style w:type="table" w:customStyle="1" w:styleId="affffc">
    <w:basedOn w:val="TableNormal1"/>
    <w:tblPr>
      <w:tblStyleRowBandSize w:val="1"/>
      <w:tblStyleColBandSize w:val="1"/>
      <w:tblCellMar>
        <w:left w:w="115" w:type="dxa"/>
        <w:right w:w="115" w:type="dxa"/>
      </w:tblCellMar>
    </w:tblPr>
  </w:style>
  <w:style w:type="table" w:customStyle="1" w:styleId="affffd">
    <w:basedOn w:val="TableNormal1"/>
    <w:tblPr>
      <w:tblStyleRowBandSize w:val="1"/>
      <w:tblStyleColBandSize w:val="1"/>
      <w:tblCellMar>
        <w:left w:w="115" w:type="dxa"/>
        <w:right w:w="115" w:type="dxa"/>
      </w:tblCellMar>
    </w:tblPr>
  </w:style>
  <w:style w:type="table" w:customStyle="1" w:styleId="affffe">
    <w:basedOn w:val="TableNormal1"/>
    <w:tblPr>
      <w:tblStyleRowBandSize w:val="1"/>
      <w:tblStyleColBandSize w:val="1"/>
      <w:tblCellMar>
        <w:left w:w="115" w:type="dxa"/>
        <w:right w:w="115" w:type="dxa"/>
      </w:tblCellMar>
    </w:tblPr>
  </w:style>
  <w:style w:type="table" w:customStyle="1" w:styleId="afffff">
    <w:basedOn w:val="TableNormal1"/>
    <w:tblPr>
      <w:tblStyleRowBandSize w:val="1"/>
      <w:tblStyleColBandSize w:val="1"/>
      <w:tblCellMar>
        <w:left w:w="115" w:type="dxa"/>
        <w:right w:w="115" w:type="dxa"/>
      </w:tblCellMar>
    </w:tblPr>
  </w:style>
  <w:style w:type="table" w:customStyle="1" w:styleId="afffff0">
    <w:basedOn w:val="TableNormal1"/>
    <w:tblPr>
      <w:tblStyleRowBandSize w:val="1"/>
      <w:tblStyleColBandSize w:val="1"/>
      <w:tblCellMar>
        <w:left w:w="115" w:type="dxa"/>
        <w:right w:w="115" w:type="dxa"/>
      </w:tblCellMar>
    </w:tblPr>
  </w:style>
  <w:style w:type="table" w:customStyle="1" w:styleId="afffff1">
    <w:basedOn w:val="TableNormal1"/>
    <w:tblPr>
      <w:tblStyleRowBandSize w:val="1"/>
      <w:tblStyleColBandSize w:val="1"/>
      <w:tblCellMar>
        <w:left w:w="115" w:type="dxa"/>
        <w:right w:w="115" w:type="dxa"/>
      </w:tblCellMar>
    </w:tblPr>
  </w:style>
  <w:style w:type="table" w:customStyle="1" w:styleId="afffff2">
    <w:basedOn w:val="TableNormal1"/>
    <w:tblPr>
      <w:tblStyleRowBandSize w:val="1"/>
      <w:tblStyleColBandSize w:val="1"/>
      <w:tblCellMar>
        <w:left w:w="115" w:type="dxa"/>
        <w:right w:w="115" w:type="dxa"/>
      </w:tblCellMar>
    </w:tblPr>
  </w:style>
  <w:style w:type="table" w:customStyle="1" w:styleId="afffff3">
    <w:basedOn w:val="TableNormal1"/>
    <w:tblPr>
      <w:tblStyleRowBandSize w:val="1"/>
      <w:tblStyleColBandSize w:val="1"/>
      <w:tblCellMar>
        <w:left w:w="115" w:type="dxa"/>
        <w:right w:w="115" w:type="dxa"/>
      </w:tblCellMar>
    </w:tblPr>
  </w:style>
  <w:style w:type="table" w:customStyle="1" w:styleId="afffff4">
    <w:basedOn w:val="TableNormal1"/>
    <w:tblPr>
      <w:tblStyleRowBandSize w:val="1"/>
      <w:tblStyleColBandSize w:val="1"/>
      <w:tblCellMar>
        <w:left w:w="115" w:type="dxa"/>
        <w:right w:w="115" w:type="dxa"/>
      </w:tblCellMar>
    </w:tblPr>
  </w:style>
  <w:style w:type="table" w:customStyle="1" w:styleId="afffff5">
    <w:basedOn w:val="TableNormal1"/>
    <w:tblPr>
      <w:tblStyleRowBandSize w:val="1"/>
      <w:tblStyleColBandSize w:val="1"/>
      <w:tblCellMar>
        <w:left w:w="115" w:type="dxa"/>
        <w:right w:w="115" w:type="dxa"/>
      </w:tblCellMar>
    </w:tblPr>
  </w:style>
  <w:style w:type="table" w:customStyle="1" w:styleId="afffff6">
    <w:basedOn w:val="TableNormal1"/>
    <w:tblPr>
      <w:tblStyleRowBandSize w:val="1"/>
      <w:tblStyleColBandSize w:val="1"/>
      <w:tblCellMar>
        <w:left w:w="115" w:type="dxa"/>
        <w:right w:w="115" w:type="dxa"/>
      </w:tblCellMar>
    </w:tblPr>
  </w:style>
  <w:style w:type="table" w:customStyle="1" w:styleId="afffff7">
    <w:basedOn w:val="TableNormal1"/>
    <w:tblPr>
      <w:tblStyleRowBandSize w:val="1"/>
      <w:tblStyleColBandSize w:val="1"/>
      <w:tblCellMar>
        <w:left w:w="115" w:type="dxa"/>
        <w:right w:w="115" w:type="dxa"/>
      </w:tblCellMar>
    </w:tblPr>
  </w:style>
  <w:style w:type="table" w:customStyle="1" w:styleId="afffff8">
    <w:basedOn w:val="TableNormal1"/>
    <w:tblPr>
      <w:tblStyleRowBandSize w:val="1"/>
      <w:tblStyleColBandSize w:val="1"/>
      <w:tblCellMar>
        <w:left w:w="115" w:type="dxa"/>
        <w:right w:w="115" w:type="dxa"/>
      </w:tblCellMar>
    </w:tblPr>
  </w:style>
  <w:style w:type="table" w:customStyle="1" w:styleId="afffff9">
    <w:basedOn w:val="TableNormal1"/>
    <w:tblPr>
      <w:tblStyleRowBandSize w:val="1"/>
      <w:tblStyleColBandSize w:val="1"/>
      <w:tblCellMar>
        <w:left w:w="115" w:type="dxa"/>
        <w:right w:w="115" w:type="dxa"/>
      </w:tblCellMar>
    </w:tblPr>
  </w:style>
  <w:style w:type="table" w:customStyle="1" w:styleId="afffffa">
    <w:basedOn w:val="TableNormal1"/>
    <w:tblPr>
      <w:tblStyleRowBandSize w:val="1"/>
      <w:tblStyleColBandSize w:val="1"/>
      <w:tblCellMar>
        <w:left w:w="115" w:type="dxa"/>
        <w:right w:w="115" w:type="dxa"/>
      </w:tblCellMar>
    </w:tblPr>
  </w:style>
  <w:style w:type="table" w:customStyle="1" w:styleId="afffffb">
    <w:basedOn w:val="TableNormal1"/>
    <w:tblPr>
      <w:tblStyleRowBandSize w:val="1"/>
      <w:tblStyleColBandSize w:val="1"/>
      <w:tblCellMar>
        <w:left w:w="115" w:type="dxa"/>
        <w:right w:w="115" w:type="dxa"/>
      </w:tblCellMar>
    </w:tblPr>
  </w:style>
  <w:style w:type="table" w:customStyle="1" w:styleId="afffffc">
    <w:basedOn w:val="TableNormal1"/>
    <w:tblPr>
      <w:tblStyleRowBandSize w:val="1"/>
      <w:tblStyleColBandSize w:val="1"/>
      <w:tblCellMar>
        <w:left w:w="115" w:type="dxa"/>
        <w:right w:w="115" w:type="dxa"/>
      </w:tblCellMar>
    </w:tblPr>
  </w:style>
  <w:style w:type="character" w:styleId="afffffd">
    <w:name w:val="annotation reference"/>
    <w:basedOn w:val="a0"/>
    <w:uiPriority w:val="99"/>
    <w:semiHidden/>
    <w:unhideWhenUsed/>
    <w:rsid w:val="005E3319"/>
    <w:rPr>
      <w:sz w:val="18"/>
      <w:szCs w:val="18"/>
    </w:rPr>
  </w:style>
  <w:style w:type="paragraph" w:styleId="afffffe">
    <w:name w:val="annotation text"/>
    <w:basedOn w:val="a"/>
    <w:link w:val="affffff"/>
    <w:uiPriority w:val="99"/>
    <w:semiHidden/>
    <w:unhideWhenUsed/>
    <w:rsid w:val="005E3319"/>
  </w:style>
  <w:style w:type="character" w:customStyle="1" w:styleId="affffff">
    <w:name w:val="コメント文字列 (文字)"/>
    <w:basedOn w:val="a0"/>
    <w:link w:val="afffffe"/>
    <w:uiPriority w:val="99"/>
    <w:semiHidden/>
    <w:rsid w:val="005E3319"/>
    <w:rPr>
      <w:lang w:eastAsia="en-US"/>
    </w:rPr>
  </w:style>
  <w:style w:type="paragraph" w:styleId="affffff0">
    <w:name w:val="annotation subject"/>
    <w:basedOn w:val="afffffe"/>
    <w:next w:val="afffffe"/>
    <w:link w:val="affffff1"/>
    <w:uiPriority w:val="99"/>
    <w:semiHidden/>
    <w:unhideWhenUsed/>
    <w:rsid w:val="005E3319"/>
    <w:rPr>
      <w:b/>
      <w:bCs/>
    </w:rPr>
  </w:style>
  <w:style w:type="character" w:customStyle="1" w:styleId="affffff1">
    <w:name w:val="コメント内容 (文字)"/>
    <w:basedOn w:val="affffff"/>
    <w:link w:val="affffff0"/>
    <w:uiPriority w:val="99"/>
    <w:semiHidden/>
    <w:rsid w:val="005E3319"/>
    <w:rPr>
      <w:b/>
      <w:bCs/>
      <w:lang w:eastAsia="en-US"/>
    </w:rPr>
  </w:style>
  <w:style w:type="paragraph" w:styleId="affffff2">
    <w:name w:val="Revision"/>
    <w:hidden/>
    <w:uiPriority w:val="99"/>
    <w:semiHidden/>
    <w:rsid w:val="005C0374"/>
    <w:rPr>
      <w:lang w:eastAsia="en-US"/>
    </w:rPr>
  </w:style>
  <w:style w:type="paragraph" w:styleId="affffff3">
    <w:name w:val="Balloon Text"/>
    <w:basedOn w:val="a"/>
    <w:link w:val="affffff4"/>
    <w:uiPriority w:val="99"/>
    <w:semiHidden/>
    <w:unhideWhenUsed/>
    <w:rsid w:val="005C0374"/>
    <w:rPr>
      <w:rFonts w:asciiTheme="majorHAnsi" w:eastAsiaTheme="majorEastAsia" w:hAnsiTheme="majorHAnsi" w:cstheme="majorBidi"/>
      <w:sz w:val="18"/>
      <w:szCs w:val="18"/>
    </w:rPr>
  </w:style>
  <w:style w:type="character" w:customStyle="1" w:styleId="affffff4">
    <w:name w:val="吹き出し (文字)"/>
    <w:basedOn w:val="a0"/>
    <w:link w:val="affffff3"/>
    <w:uiPriority w:val="99"/>
    <w:semiHidden/>
    <w:rsid w:val="005C0374"/>
    <w:rPr>
      <w:rFonts w:asciiTheme="majorHAnsi" w:eastAsiaTheme="majorEastAsia" w:hAnsiTheme="majorHAnsi" w:cstheme="majorBidi"/>
      <w:sz w:val="18"/>
      <w:szCs w:val="18"/>
      <w:lang w:eastAsia="en-US"/>
    </w:rPr>
  </w:style>
  <w:style w:type="paragraph" w:styleId="affffff5">
    <w:name w:val="header"/>
    <w:basedOn w:val="a"/>
    <w:link w:val="affffff6"/>
    <w:uiPriority w:val="99"/>
    <w:unhideWhenUsed/>
    <w:rsid w:val="00F92154"/>
    <w:pPr>
      <w:tabs>
        <w:tab w:val="center" w:pos="4252"/>
        <w:tab w:val="right" w:pos="8504"/>
      </w:tabs>
      <w:snapToGrid w:val="0"/>
    </w:pPr>
  </w:style>
  <w:style w:type="character" w:customStyle="1" w:styleId="affffff6">
    <w:name w:val="ヘッダー (文字)"/>
    <w:basedOn w:val="a0"/>
    <w:link w:val="affffff5"/>
    <w:uiPriority w:val="99"/>
    <w:rsid w:val="00F92154"/>
    <w:rPr>
      <w:lang w:eastAsia="en-US"/>
    </w:rPr>
  </w:style>
  <w:style w:type="paragraph" w:styleId="affffff7">
    <w:name w:val="footer"/>
    <w:basedOn w:val="a"/>
    <w:link w:val="affffff8"/>
    <w:uiPriority w:val="99"/>
    <w:unhideWhenUsed/>
    <w:rsid w:val="00F92154"/>
    <w:pPr>
      <w:tabs>
        <w:tab w:val="center" w:pos="4252"/>
        <w:tab w:val="right" w:pos="8504"/>
      </w:tabs>
      <w:snapToGrid w:val="0"/>
    </w:pPr>
  </w:style>
  <w:style w:type="character" w:customStyle="1" w:styleId="affffff8">
    <w:name w:val="フッター (文字)"/>
    <w:basedOn w:val="a0"/>
    <w:link w:val="affffff7"/>
    <w:uiPriority w:val="99"/>
    <w:rsid w:val="00F92154"/>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21655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Helvetica Neue"/>
        <a:ea typeface="ＭＳ ゴシック"/>
        <a:cs typeface="Helvetica Neue"/>
      </a:majorFont>
      <a:minorFont>
        <a:latin typeface="Helvetica Neue"/>
        <a:ea typeface="ＭＳ 明朝"/>
        <a:cs typeface="Helvetica Neue"/>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5LO1tPJl5huAprGTSZQ9W0Eszw==">AMUW2mU6+JXLOONEL0p5quCGjSENFM8o9NespiLOUWTDIEkrd0adKDgsk+aRbkxKCqliQeJZre6KbmAIp1t05gxskBsKadNqV5IS069v9YFCOS0kxJ3uswp84PhlbDo8y3Hh/dDwVzd0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636</Words>
  <Characters>3626</Characters>
  <Application>Microsoft Office Word</Application>
  <DocSecurity>0</DocSecurity>
  <Lines>30</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2022-11-08T11:26:00Z</dcterms:created>
  <dcterms:modified xsi:type="dcterms:W3CDTF">2022-11-08T11:26:00Z</dcterms:modified>
</cp:coreProperties>
</file>