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595D" w14:textId="77777777" w:rsidR="009F0AB9" w:rsidRDefault="009F0AB9" w:rsidP="009F0AB9">
      <w:pPr>
        <w:rPr>
          <w:rFonts w:ascii="Times New Roman" w:eastAsia="ＭＳ 明朝" w:hAnsi="Times New Roman" w:cs="Times New Roman"/>
          <w:b/>
          <w:sz w:val="24"/>
          <w:szCs w:val="24"/>
        </w:rPr>
      </w:pPr>
      <w:r>
        <w:rPr>
          <w:rFonts w:ascii="Times New Roman" w:eastAsia="ＭＳ 明朝" w:hAnsi="Times New Roman" w:cs="Times New Roman"/>
          <w:b/>
          <w:sz w:val="24"/>
          <w:szCs w:val="24"/>
        </w:rPr>
        <w:t>Juryō’in (Subtemple of Engyōji)</w:t>
      </w:r>
    </w:p>
    <w:p w14:paraId="75702703" w14:textId="77777777" w:rsidR="009F0AB9" w:rsidRDefault="009F0AB9" w:rsidP="009F0AB9">
      <w:pPr>
        <w:widowControl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Juryō’in is considered the most important subtemple of the Engyōji complex. It boasts the special honor of having acted as the guest quarters of Retired Emperor Goshirakawa </w:t>
      </w:r>
      <w:bookmarkStart w:id="0" w:name="_Hlk50586713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(1127–1192)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</w:rPr>
        <w:t>during his week-long visit to Engyōji in 1174. The present structure harmoniously blends classical (</w:t>
      </w:r>
      <w:bookmarkStart w:id="1" w:name="_Hlk47632807"/>
      <w:r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shinden</w:t>
      </w:r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</w:rPr>
        <w:t>) and early modern (</w:t>
      </w:r>
      <w:bookmarkStart w:id="2" w:name="_Hlk47632823"/>
      <w:r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shoin</w:t>
      </w:r>
      <w:bookmarkEnd w:id="2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) architectural styles. The latter is exemplified by alcoves, staggered shelves, interior partitions, and tatami flooring. The central Buddha hall is adorned with a copy of the </w:t>
      </w:r>
      <w:bookmarkStart w:id="3" w:name="_Hlk47632840"/>
      <w:r>
        <w:rPr>
          <w:rFonts w:ascii="Times New Roman" w:eastAsia="Times New Roman" w:hAnsi="Times New Roman" w:cs="Times New Roman"/>
          <w:kern w:val="0"/>
          <w:sz w:val="24"/>
          <w:szCs w:val="24"/>
        </w:rPr>
        <w:t>Taima Mandala</w:t>
      </w:r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which depicts the </w:t>
      </w:r>
      <w:bookmarkStart w:id="4" w:name="_Hlk47632852"/>
      <w:r>
        <w:rPr>
          <w:rFonts w:ascii="Times New Roman" w:eastAsia="Times New Roman" w:hAnsi="Times New Roman" w:cs="Times New Roman"/>
          <w:kern w:val="0"/>
          <w:sz w:val="24"/>
          <w:szCs w:val="24"/>
        </w:rPr>
        <w:t>Buddhist Pure Land</w:t>
      </w:r>
      <w:bookmarkEnd w:id="4"/>
      <w:r>
        <w:rPr>
          <w:rFonts w:ascii="Times New Roman" w:eastAsia="Times New Roman" w:hAnsi="Times New Roman" w:cs="Times New Roman"/>
          <w:kern w:val="0"/>
          <w:sz w:val="24"/>
          <w:szCs w:val="24"/>
        </w:rPr>
        <w:t>, a paradise where enlightenment is guaranteed.</w:t>
      </w:r>
    </w:p>
    <w:p w14:paraId="6A95A34F" w14:textId="77777777" w:rsidR="009F0AB9" w:rsidRDefault="009F0AB9" w:rsidP="009F0AB9">
      <w:pPr>
        <w:widowControl/>
        <w:ind w:firstLine="284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An entrance hall and elegant gate with a cusped-gable roof separate the residential spaces described above from another section of Juryō’in that is used mainly as a kitchen. One room contains a display of various pieces of Shosha-nuri, the distinctive crimson lacquerware for which Mt. Shosha is famous. Today, Juryō’in is used to host weddings and other private events. With a booking, guests can enjoy traditional Buddhist vegetarian cuisine served on Shosha-nuri.</w:t>
      </w:r>
    </w:p>
    <w:p w14:paraId="294B9776" w14:textId="6F6C0D59" w:rsidR="008D2586" w:rsidRPr="009F0AB9" w:rsidRDefault="008D2586" w:rsidP="009F0AB9"/>
    <w:sectPr w:rsidR="008D2586" w:rsidRPr="009F0A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A439" w14:textId="77777777" w:rsidR="00FC4B83" w:rsidRDefault="00FC4B83" w:rsidP="002A6075">
      <w:r>
        <w:separator/>
      </w:r>
    </w:p>
  </w:endnote>
  <w:endnote w:type="continuationSeparator" w:id="0">
    <w:p w14:paraId="1B5F7AAA" w14:textId="77777777" w:rsidR="00FC4B83" w:rsidRDefault="00FC4B83" w:rsidP="002A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A537" w14:textId="77777777" w:rsidR="00FC4B83" w:rsidRDefault="00FC4B83" w:rsidP="002A6075">
      <w:r>
        <w:separator/>
      </w:r>
    </w:p>
  </w:footnote>
  <w:footnote w:type="continuationSeparator" w:id="0">
    <w:p w14:paraId="28F22898" w14:textId="77777777" w:rsidR="00FC4B83" w:rsidRDefault="00FC4B83" w:rsidP="002A6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75"/>
    <w:rsid w:val="00014781"/>
    <w:rsid w:val="00057493"/>
    <w:rsid w:val="00082C34"/>
    <w:rsid w:val="0009026B"/>
    <w:rsid w:val="00091188"/>
    <w:rsid w:val="00092D94"/>
    <w:rsid w:val="0009364D"/>
    <w:rsid w:val="000A3917"/>
    <w:rsid w:val="000C3EA2"/>
    <w:rsid w:val="000D1090"/>
    <w:rsid w:val="00105B8F"/>
    <w:rsid w:val="0010778B"/>
    <w:rsid w:val="00122C6B"/>
    <w:rsid w:val="001522BF"/>
    <w:rsid w:val="00155DF2"/>
    <w:rsid w:val="00171A9C"/>
    <w:rsid w:val="00182804"/>
    <w:rsid w:val="001853D8"/>
    <w:rsid w:val="001E6D40"/>
    <w:rsid w:val="00223D0D"/>
    <w:rsid w:val="0023046F"/>
    <w:rsid w:val="002415B8"/>
    <w:rsid w:val="00267B06"/>
    <w:rsid w:val="00276ED3"/>
    <w:rsid w:val="00285650"/>
    <w:rsid w:val="0029516D"/>
    <w:rsid w:val="002A6075"/>
    <w:rsid w:val="002C324C"/>
    <w:rsid w:val="003824F4"/>
    <w:rsid w:val="00383D04"/>
    <w:rsid w:val="003855B2"/>
    <w:rsid w:val="00395717"/>
    <w:rsid w:val="003A4E69"/>
    <w:rsid w:val="003B3E95"/>
    <w:rsid w:val="003B6124"/>
    <w:rsid w:val="003B648F"/>
    <w:rsid w:val="003B7E88"/>
    <w:rsid w:val="0041082C"/>
    <w:rsid w:val="004374FC"/>
    <w:rsid w:val="004B2555"/>
    <w:rsid w:val="004B2AFB"/>
    <w:rsid w:val="004B6634"/>
    <w:rsid w:val="004B783C"/>
    <w:rsid w:val="00523CC0"/>
    <w:rsid w:val="005246D6"/>
    <w:rsid w:val="00542A92"/>
    <w:rsid w:val="005452E8"/>
    <w:rsid w:val="00563637"/>
    <w:rsid w:val="0059730A"/>
    <w:rsid w:val="005C5727"/>
    <w:rsid w:val="005F5930"/>
    <w:rsid w:val="00606451"/>
    <w:rsid w:val="00610462"/>
    <w:rsid w:val="0061687A"/>
    <w:rsid w:val="006426D8"/>
    <w:rsid w:val="006B18C4"/>
    <w:rsid w:val="006B709E"/>
    <w:rsid w:val="006C52B1"/>
    <w:rsid w:val="006D5042"/>
    <w:rsid w:val="006D6D86"/>
    <w:rsid w:val="006F2D4E"/>
    <w:rsid w:val="007011CC"/>
    <w:rsid w:val="00716281"/>
    <w:rsid w:val="007168BC"/>
    <w:rsid w:val="00721860"/>
    <w:rsid w:val="00723241"/>
    <w:rsid w:val="00727F9F"/>
    <w:rsid w:val="007A3EFE"/>
    <w:rsid w:val="007A415D"/>
    <w:rsid w:val="007C2A1D"/>
    <w:rsid w:val="007D3B8B"/>
    <w:rsid w:val="007F3050"/>
    <w:rsid w:val="008160C5"/>
    <w:rsid w:val="00841C34"/>
    <w:rsid w:val="008503C0"/>
    <w:rsid w:val="0088645F"/>
    <w:rsid w:val="008D2586"/>
    <w:rsid w:val="008D68D7"/>
    <w:rsid w:val="008E2210"/>
    <w:rsid w:val="008F2E44"/>
    <w:rsid w:val="00915D39"/>
    <w:rsid w:val="00916103"/>
    <w:rsid w:val="009670C4"/>
    <w:rsid w:val="009A5911"/>
    <w:rsid w:val="009B1600"/>
    <w:rsid w:val="009B232A"/>
    <w:rsid w:val="009B4E2A"/>
    <w:rsid w:val="009C0322"/>
    <w:rsid w:val="009E23FC"/>
    <w:rsid w:val="009F0AB9"/>
    <w:rsid w:val="009F3DBE"/>
    <w:rsid w:val="00A963B9"/>
    <w:rsid w:val="00AB062E"/>
    <w:rsid w:val="00AB4298"/>
    <w:rsid w:val="00AF4658"/>
    <w:rsid w:val="00AF7951"/>
    <w:rsid w:val="00B102F2"/>
    <w:rsid w:val="00B50871"/>
    <w:rsid w:val="00B92E51"/>
    <w:rsid w:val="00B969B1"/>
    <w:rsid w:val="00BB1900"/>
    <w:rsid w:val="00BC07F6"/>
    <w:rsid w:val="00BC0E3B"/>
    <w:rsid w:val="00C44759"/>
    <w:rsid w:val="00C97CAA"/>
    <w:rsid w:val="00CA41C7"/>
    <w:rsid w:val="00CC2D19"/>
    <w:rsid w:val="00CE4272"/>
    <w:rsid w:val="00CE49FE"/>
    <w:rsid w:val="00CF1756"/>
    <w:rsid w:val="00CF4734"/>
    <w:rsid w:val="00CF7EEB"/>
    <w:rsid w:val="00D03DF5"/>
    <w:rsid w:val="00D03ED1"/>
    <w:rsid w:val="00D067D5"/>
    <w:rsid w:val="00D17AAE"/>
    <w:rsid w:val="00D36C21"/>
    <w:rsid w:val="00D61A4A"/>
    <w:rsid w:val="00D72BEF"/>
    <w:rsid w:val="00D91DA3"/>
    <w:rsid w:val="00DF1329"/>
    <w:rsid w:val="00E31BDA"/>
    <w:rsid w:val="00EB371E"/>
    <w:rsid w:val="00EC0B82"/>
    <w:rsid w:val="00ED114E"/>
    <w:rsid w:val="00F6239F"/>
    <w:rsid w:val="00F95EBA"/>
    <w:rsid w:val="00FC4B83"/>
    <w:rsid w:val="00FD5E1D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B061B4B"/>
  <w15:chartTrackingRefBased/>
  <w15:docId w15:val="{233CB7F4-AE20-4A38-BCA6-3B0477AE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6075"/>
  </w:style>
  <w:style w:type="paragraph" w:styleId="a5">
    <w:name w:val="footer"/>
    <w:basedOn w:val="a"/>
    <w:link w:val="a6"/>
    <w:uiPriority w:val="99"/>
    <w:unhideWhenUsed/>
    <w:rsid w:val="002A6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075"/>
  </w:style>
  <w:style w:type="table" w:styleId="a7">
    <w:name w:val="Table Grid"/>
    <w:basedOn w:val="a1"/>
    <w:uiPriority w:val="39"/>
    <w:rsid w:val="002A6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6D6D8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BC0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0E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F593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F5930"/>
  </w:style>
  <w:style w:type="character" w:styleId="ac">
    <w:name w:val="annotation reference"/>
    <w:uiPriority w:val="99"/>
    <w:semiHidden/>
    <w:unhideWhenUsed/>
    <w:rsid w:val="005F5930"/>
    <w:rPr>
      <w:sz w:val="16"/>
      <w:szCs w:val="16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8D68D7"/>
    <w:rPr>
      <w:b/>
      <w:bCs/>
    </w:rPr>
  </w:style>
  <w:style w:type="character" w:customStyle="1" w:styleId="ae">
    <w:name w:val="コメント内容 (文字)"/>
    <w:basedOn w:val="ab"/>
    <w:link w:val="ad"/>
    <w:uiPriority w:val="99"/>
    <w:semiHidden/>
    <w:rsid w:val="008D68D7"/>
    <w:rPr>
      <w:b/>
      <w:bCs/>
    </w:rPr>
  </w:style>
  <w:style w:type="character" w:styleId="af">
    <w:name w:val="Hyperlink"/>
    <w:basedOn w:val="a0"/>
    <w:uiPriority w:val="99"/>
    <w:unhideWhenUsed/>
    <w:rsid w:val="00223D0D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23D0D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9E2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CD461-238A-4DC6-A0A8-7F4AD3C7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TOPPAN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D17050125</dc:creator>
  <cp:keywords/>
  <dc:description/>
  <cp:lastModifiedBy>Sayaka Yabe</cp:lastModifiedBy>
  <cp:revision>2</cp:revision>
  <cp:lastPrinted>2019-09-09T08:48:00Z</cp:lastPrinted>
  <dcterms:created xsi:type="dcterms:W3CDTF">2022-11-08T12:28:00Z</dcterms:created>
  <dcterms:modified xsi:type="dcterms:W3CDTF">2022-11-08T12:28:00Z</dcterms:modified>
</cp:coreProperties>
</file>