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1A4DC" w14:textId="7AB1FDFA" w:rsidR="002E53F2" w:rsidRDefault="002E53F2" w:rsidP="002E53F2">
      <w:pPr>
        <w:spacing w:line="276" w:lineRule="auto"/>
        <w:rPr>
          <w:b/>
        </w:rPr>
      </w:pPr>
      <w:r>
        <w:rPr>
          <w:b/>
          <w:color w:val="404040"/>
          <w:spacing w:val="8"/>
        </w:rPr>
        <w:t>Kayonoike Pond</w:t>
      </w:r>
    </w:p>
    <w:p w14:paraId="3D4E756C" w14:textId="77777777" w:rsidR="002E53F2" w:rsidRDefault="002E53F2" w:rsidP="002E53F2">
      <w:pPr>
        <w:spacing w:line="276" w:lineRule="auto"/>
        <w:rPr>
          <w:b/>
        </w:rPr>
      </w:pPr>
    </w:p>
    <w:p w14:paraId="05FB807D" w14:textId="77777777" w:rsidR="002E53F2" w:rsidRDefault="002E53F2" w:rsidP="002E53F2">
      <w:pPr>
        <w:spacing w:line="276" w:lineRule="auto"/>
      </w:pPr>
      <w:r>
        <w:rPr>
          <w:color w:val="404040"/>
          <w:spacing w:val="8"/>
        </w:rPr>
        <w:t xml:space="preserve">The lotus pond on the south side of the garden beside the Enyotei House and the Eisho-no-ma Room is called Kayonoike. From mid-June to August, it is filled with the large white flowers of ittenshikai lotus, which can reach up to 30 centimeters in diameter. Lotus flowers open in the morning at dawn and close their petals soon after noon. The small Eishobashi Bridge traverses the center of the pond; at one side is the large Odateishi Stone. At the north end of the bridge is a splendid weeping cherry tree and at its south end maple trees. The Nishikigaoka woods that form the backdrop of the pond are filled with many different species of trees and plants. The water of Kayonoike Pond travels via underground pipes from the garden’s meandering stream and Sawanoike Pond and cascades into the pond over a splendid arrangement of rocks. </w:t>
      </w:r>
    </w:p>
    <w:p w14:paraId="6FFA9C3B" w14:textId="77777777" w:rsidR="00EC4C39" w:rsidRPr="002E53F2" w:rsidRDefault="00EC4C39" w:rsidP="002E53F2">
      <w:pPr>
        <w:rPr>
          <w:rFonts w:eastAsia="Arial"/>
        </w:rPr>
      </w:pPr>
    </w:p>
    <w:sectPr w:rsidR="00EC4C39" w:rsidRPr="002E53F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EFE5" w14:textId="77777777" w:rsidR="00D40B0C" w:rsidRDefault="00D40B0C" w:rsidP="00D40B0C">
      <w:r>
        <w:separator/>
      </w:r>
    </w:p>
  </w:endnote>
  <w:endnote w:type="continuationSeparator" w:id="0">
    <w:p w14:paraId="1344DCAD" w14:textId="77777777" w:rsidR="00D40B0C" w:rsidRDefault="00D40B0C" w:rsidP="00D4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F608" w14:textId="77777777" w:rsidR="00D40B0C" w:rsidRDefault="00D40B0C" w:rsidP="00D40B0C">
      <w:r>
        <w:separator/>
      </w:r>
    </w:p>
  </w:footnote>
  <w:footnote w:type="continuationSeparator" w:id="0">
    <w:p w14:paraId="4C13AF99" w14:textId="77777777" w:rsidR="00D40B0C" w:rsidRDefault="00D40B0C" w:rsidP="00D40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E64B6"/>
    <w:rsid w:val="00167BC7"/>
    <w:rsid w:val="0029011C"/>
    <w:rsid w:val="002E53F2"/>
    <w:rsid w:val="00327E38"/>
    <w:rsid w:val="003611CC"/>
    <w:rsid w:val="005C44DF"/>
    <w:rsid w:val="0067511A"/>
    <w:rsid w:val="0087178E"/>
    <w:rsid w:val="0089626F"/>
    <w:rsid w:val="008D3D59"/>
    <w:rsid w:val="00921232"/>
    <w:rsid w:val="00A05879"/>
    <w:rsid w:val="00A77C72"/>
    <w:rsid w:val="00AB5146"/>
    <w:rsid w:val="00BF4A2A"/>
    <w:rsid w:val="00C91377"/>
    <w:rsid w:val="00C93535"/>
    <w:rsid w:val="00D40B0C"/>
    <w:rsid w:val="00D83CAB"/>
    <w:rsid w:val="00D92A3E"/>
    <w:rsid w:val="00E17167"/>
    <w:rsid w:val="00E236B4"/>
    <w:rsid w:val="00EB0451"/>
    <w:rsid w:val="00EC4C39"/>
    <w:rsid w:val="00F13E75"/>
    <w:rsid w:val="00F14098"/>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336"/>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styleId="affd">
    <w:name w:val="Revision"/>
    <w:hidden/>
    <w:uiPriority w:val="99"/>
    <w:semiHidden/>
    <w:rsid w:val="00C91377"/>
    <w:pPr>
      <w:widowControl/>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596860940">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2022-11-08T12:42:00Z</dcterms:created>
  <dcterms:modified xsi:type="dcterms:W3CDTF">2022-11-08T12:42:00Z</dcterms:modified>
</cp:coreProperties>
</file>